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D14" w:rsidRPr="00BE4506" w:rsidRDefault="00547D14" w:rsidP="00547D14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szCs w:val="28"/>
        </w:rPr>
      </w:pPr>
      <w:r w:rsidRPr="00BE4506">
        <w:rPr>
          <w:b/>
          <w:szCs w:val="28"/>
        </w:rPr>
        <w:t xml:space="preserve">Результаты и анализ применения последовательной </w:t>
      </w:r>
      <w:proofErr w:type="spellStart"/>
      <w:r w:rsidRPr="00BE4506">
        <w:rPr>
          <w:b/>
          <w:szCs w:val="28"/>
        </w:rPr>
        <w:t>таргетной</w:t>
      </w:r>
      <w:proofErr w:type="spellEnd"/>
      <w:r w:rsidRPr="00BE4506">
        <w:rPr>
          <w:b/>
          <w:szCs w:val="28"/>
        </w:rPr>
        <w:t xml:space="preserve"> терапии у больных метастатическим почечно-клеточным раком в Москве (за период с июня 2005 г. по июль 2015 г.)</w:t>
      </w:r>
    </w:p>
    <w:p w:rsidR="00547D14" w:rsidRPr="00A40DE8" w:rsidRDefault="00547D14" w:rsidP="00547D14">
      <w:pPr>
        <w:jc w:val="center"/>
        <w:rPr>
          <w:szCs w:val="28"/>
        </w:rPr>
      </w:pPr>
    </w:p>
    <w:p w:rsidR="00547D14" w:rsidRDefault="00547D14" w:rsidP="00547D14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szCs w:val="28"/>
        </w:rPr>
      </w:pPr>
    </w:p>
    <w:p w:rsidR="00547D14" w:rsidRPr="00A40DE8" w:rsidRDefault="00547D14" w:rsidP="00547D14">
      <w:pPr>
        <w:autoSpaceDE w:val="0"/>
        <w:autoSpaceDN w:val="0"/>
        <w:adjustRightInd w:val="0"/>
        <w:spacing w:line="360" w:lineRule="auto"/>
        <w:ind w:firstLine="709"/>
        <w:jc w:val="center"/>
        <w:rPr>
          <w:bCs/>
          <w:szCs w:val="28"/>
        </w:rPr>
      </w:pPr>
      <w:r>
        <w:rPr>
          <w:bCs/>
          <w:szCs w:val="28"/>
        </w:rPr>
        <w:t xml:space="preserve">В.И. </w:t>
      </w:r>
      <w:proofErr w:type="spellStart"/>
      <w:r>
        <w:rPr>
          <w:bCs/>
          <w:szCs w:val="28"/>
        </w:rPr>
        <w:t>Широкорад</w:t>
      </w:r>
      <w:proofErr w:type="spellEnd"/>
      <w:r>
        <w:rPr>
          <w:bCs/>
          <w:szCs w:val="28"/>
        </w:rPr>
        <w:t xml:space="preserve">, Г.П. Колесников, С.В. </w:t>
      </w:r>
      <w:proofErr w:type="spellStart"/>
      <w:r>
        <w:rPr>
          <w:bCs/>
          <w:szCs w:val="28"/>
        </w:rPr>
        <w:t>Кострицкий</w:t>
      </w:r>
      <w:proofErr w:type="spellEnd"/>
      <w:r>
        <w:rPr>
          <w:bCs/>
          <w:szCs w:val="28"/>
        </w:rPr>
        <w:t xml:space="preserve">, К.Ю. </w:t>
      </w:r>
      <w:proofErr w:type="spellStart"/>
      <w:r>
        <w:rPr>
          <w:bCs/>
          <w:szCs w:val="28"/>
        </w:rPr>
        <w:t>Кашинцев</w:t>
      </w:r>
      <w:proofErr w:type="spellEnd"/>
    </w:p>
    <w:p w:rsidR="004A1C86" w:rsidRDefault="004A1C86" w:rsidP="00547D14">
      <w:pPr>
        <w:autoSpaceDE w:val="0"/>
        <w:autoSpaceDN w:val="0"/>
        <w:adjustRightInd w:val="0"/>
        <w:spacing w:line="360" w:lineRule="auto"/>
        <w:ind w:firstLine="709"/>
        <w:jc w:val="center"/>
        <w:rPr>
          <w:i/>
          <w:iCs/>
          <w:szCs w:val="28"/>
          <w:vertAlign w:val="superscript"/>
        </w:rPr>
      </w:pPr>
    </w:p>
    <w:p w:rsidR="00547D14" w:rsidRDefault="00547D14" w:rsidP="00547D14">
      <w:pPr>
        <w:autoSpaceDE w:val="0"/>
        <w:autoSpaceDN w:val="0"/>
        <w:adjustRightInd w:val="0"/>
        <w:spacing w:line="360" w:lineRule="auto"/>
        <w:ind w:firstLine="709"/>
        <w:jc w:val="center"/>
        <w:rPr>
          <w:i/>
          <w:iCs/>
          <w:szCs w:val="28"/>
        </w:rPr>
      </w:pPr>
      <w:r>
        <w:rPr>
          <w:i/>
          <w:iCs/>
          <w:szCs w:val="28"/>
        </w:rPr>
        <w:t>Московская городская онкологическая больница № 62;</w:t>
      </w:r>
    </w:p>
    <w:p w:rsidR="00547D14" w:rsidRDefault="00547D14" w:rsidP="00547D14">
      <w:pPr>
        <w:autoSpaceDE w:val="0"/>
        <w:autoSpaceDN w:val="0"/>
        <w:adjustRightInd w:val="0"/>
        <w:spacing w:line="360" w:lineRule="auto"/>
        <w:ind w:firstLine="709"/>
        <w:jc w:val="center"/>
        <w:rPr>
          <w:i/>
          <w:iCs/>
          <w:szCs w:val="28"/>
        </w:rPr>
      </w:pPr>
      <w:r w:rsidRPr="000A0D2E">
        <w:rPr>
          <w:i/>
          <w:iCs/>
          <w:szCs w:val="28"/>
        </w:rPr>
        <w:t xml:space="preserve">143423 Московская область, Красногорский район, </w:t>
      </w:r>
      <w:proofErr w:type="spellStart"/>
      <w:proofErr w:type="gramStart"/>
      <w:r w:rsidRPr="000A0D2E">
        <w:rPr>
          <w:i/>
          <w:iCs/>
          <w:szCs w:val="28"/>
        </w:rPr>
        <w:t>п</w:t>
      </w:r>
      <w:proofErr w:type="spellEnd"/>
      <w:proofErr w:type="gramEnd"/>
      <w:r w:rsidRPr="000A0D2E">
        <w:rPr>
          <w:i/>
          <w:iCs/>
          <w:szCs w:val="28"/>
        </w:rPr>
        <w:t xml:space="preserve">/о </w:t>
      </w:r>
      <w:proofErr w:type="spellStart"/>
      <w:r w:rsidRPr="000A0D2E">
        <w:rPr>
          <w:i/>
          <w:iCs/>
          <w:szCs w:val="28"/>
        </w:rPr>
        <w:t>Степановское</w:t>
      </w:r>
      <w:proofErr w:type="spellEnd"/>
      <w:r w:rsidRPr="000A0D2E">
        <w:rPr>
          <w:i/>
          <w:iCs/>
          <w:szCs w:val="28"/>
        </w:rPr>
        <w:t>, поселок Истра, 27</w:t>
      </w:r>
    </w:p>
    <w:p w:rsidR="00547D14" w:rsidRPr="00EF6DDF" w:rsidRDefault="00547D14" w:rsidP="00547D14">
      <w:pPr>
        <w:autoSpaceDE w:val="0"/>
        <w:autoSpaceDN w:val="0"/>
        <w:adjustRightInd w:val="0"/>
        <w:spacing w:line="360" w:lineRule="auto"/>
        <w:ind w:firstLine="709"/>
        <w:jc w:val="center"/>
        <w:rPr>
          <w:i/>
          <w:iCs/>
          <w:szCs w:val="28"/>
        </w:rPr>
      </w:pPr>
      <w:r>
        <w:rPr>
          <w:i/>
          <w:iCs/>
          <w:szCs w:val="28"/>
        </w:rPr>
        <w:t xml:space="preserve">Валерий Иванович </w:t>
      </w:r>
      <w:proofErr w:type="spellStart"/>
      <w:r>
        <w:rPr>
          <w:i/>
          <w:iCs/>
          <w:szCs w:val="28"/>
        </w:rPr>
        <w:t>Широкорад</w:t>
      </w:r>
      <w:proofErr w:type="spellEnd"/>
      <w:r>
        <w:rPr>
          <w:i/>
          <w:iCs/>
          <w:szCs w:val="28"/>
        </w:rPr>
        <w:t xml:space="preserve"> </w:t>
      </w:r>
      <w:hyperlink r:id="rId7" w:history="1">
        <w:r w:rsidRPr="00EF6DDF">
          <w:rPr>
            <w:rStyle w:val="a8"/>
            <w:i/>
            <w:iCs/>
            <w:color w:val="auto"/>
            <w:szCs w:val="28"/>
          </w:rPr>
          <w:t>Shirokorad@bk.ru</w:t>
        </w:r>
      </w:hyperlink>
    </w:p>
    <w:p w:rsidR="00BC7741" w:rsidRPr="00BC7741" w:rsidRDefault="00BC7741" w:rsidP="00BC7741">
      <w:pPr>
        <w:spacing w:line="360" w:lineRule="auto"/>
        <w:ind w:firstLine="709"/>
        <w:jc w:val="both"/>
        <w:rPr>
          <w:szCs w:val="28"/>
        </w:rPr>
      </w:pPr>
    </w:p>
    <w:p w:rsidR="00BC7741" w:rsidRPr="00BC7741" w:rsidRDefault="00BC7741" w:rsidP="00BC7741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szCs w:val="28"/>
        </w:rPr>
      </w:pPr>
      <w:r w:rsidRPr="00BC7741">
        <w:rPr>
          <w:b/>
          <w:szCs w:val="28"/>
        </w:rPr>
        <w:t>Введение</w:t>
      </w:r>
    </w:p>
    <w:p w:rsidR="00BC7741" w:rsidRPr="00BC7741" w:rsidRDefault="00BC7741" w:rsidP="00BC7741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222222"/>
          <w:szCs w:val="28"/>
          <w:shd w:val="clear" w:color="auto" w:fill="FFFFFF"/>
        </w:rPr>
      </w:pPr>
      <w:r w:rsidRPr="00BC7741">
        <w:rPr>
          <w:szCs w:val="28"/>
        </w:rPr>
        <w:t>С развитием молекулярной и клинической онкологии, исключительными достижениями в генетических исследованиях принципиально изменился подход к лечению пациентов с метастатическим почечно-клеточным раком (</w:t>
      </w:r>
      <w:proofErr w:type="spellStart"/>
      <w:r w:rsidRPr="00BC7741">
        <w:rPr>
          <w:szCs w:val="28"/>
        </w:rPr>
        <w:t>мПКР</w:t>
      </w:r>
      <w:proofErr w:type="spellEnd"/>
      <w:r w:rsidRPr="00BC7741">
        <w:rPr>
          <w:szCs w:val="28"/>
        </w:rPr>
        <w:t xml:space="preserve">). Благодаря интенсивным усилиям учёных, </w:t>
      </w:r>
      <w:proofErr w:type="gramStart"/>
      <w:r w:rsidRPr="00BC7741">
        <w:rPr>
          <w:szCs w:val="28"/>
        </w:rPr>
        <w:t>за</w:t>
      </w:r>
      <w:proofErr w:type="gramEnd"/>
      <w:r w:rsidRPr="00BC7741">
        <w:rPr>
          <w:szCs w:val="28"/>
        </w:rPr>
        <w:t xml:space="preserve"> </w:t>
      </w:r>
      <w:proofErr w:type="gramStart"/>
      <w:r w:rsidRPr="00BC7741">
        <w:rPr>
          <w:szCs w:val="28"/>
        </w:rPr>
        <w:t>последние</w:t>
      </w:r>
      <w:proofErr w:type="gramEnd"/>
      <w:r w:rsidRPr="00BC7741">
        <w:rPr>
          <w:szCs w:val="28"/>
        </w:rPr>
        <w:t xml:space="preserve"> 15 - 20 лет в клиническую практику были внедрены около двух десятков специфических молекулярных ингибиторов, оказывающих подавляющее действие на сигнальные пути канцерогенеза (</w:t>
      </w:r>
      <w:proofErr w:type="spellStart"/>
      <w:r w:rsidRPr="00BC7741">
        <w:rPr>
          <w:szCs w:val="28"/>
        </w:rPr>
        <w:t>таргетных</w:t>
      </w:r>
      <w:proofErr w:type="spellEnd"/>
      <w:r w:rsidRPr="00BC7741">
        <w:rPr>
          <w:szCs w:val="28"/>
        </w:rPr>
        <w:t xml:space="preserve"> препаратов). Ещё более сотни </w:t>
      </w:r>
      <w:proofErr w:type="spellStart"/>
      <w:r w:rsidRPr="00BC7741">
        <w:rPr>
          <w:szCs w:val="28"/>
        </w:rPr>
        <w:t>таргетных</w:t>
      </w:r>
      <w:proofErr w:type="spellEnd"/>
      <w:r w:rsidRPr="00BC7741">
        <w:rPr>
          <w:szCs w:val="28"/>
        </w:rPr>
        <w:t xml:space="preserve"> агентов в настоящий момент проходят различные стадии клинических испытаний [14]. </w:t>
      </w:r>
      <w:r w:rsidRPr="00BC7741">
        <w:rPr>
          <w:color w:val="222222"/>
          <w:szCs w:val="28"/>
          <w:shd w:val="clear" w:color="auto" w:fill="FFFFFF"/>
        </w:rPr>
        <w:t xml:space="preserve">До сих пор не существует общепринятой парадигмы и единой концепции в последовательности использования </w:t>
      </w:r>
      <w:proofErr w:type="spellStart"/>
      <w:r w:rsidRPr="00BC7741">
        <w:rPr>
          <w:color w:val="222222"/>
          <w:szCs w:val="28"/>
          <w:shd w:val="clear" w:color="auto" w:fill="FFFFFF"/>
        </w:rPr>
        <w:t>таргетных</w:t>
      </w:r>
      <w:proofErr w:type="spellEnd"/>
      <w:r w:rsidRPr="00BC7741">
        <w:rPr>
          <w:color w:val="222222"/>
          <w:szCs w:val="28"/>
          <w:shd w:val="clear" w:color="auto" w:fill="FFFFFF"/>
        </w:rPr>
        <w:t xml:space="preserve"> препаратов при лечении </w:t>
      </w:r>
      <w:proofErr w:type="spellStart"/>
      <w:r w:rsidRPr="00BC7741">
        <w:rPr>
          <w:color w:val="222222"/>
          <w:szCs w:val="28"/>
          <w:shd w:val="clear" w:color="auto" w:fill="FFFFFF"/>
        </w:rPr>
        <w:t>мПКР</w:t>
      </w:r>
      <w:proofErr w:type="spellEnd"/>
      <w:r w:rsidRPr="00BC7741">
        <w:rPr>
          <w:szCs w:val="28"/>
        </w:rPr>
        <w:t xml:space="preserve">, в связи с ограниченностью сроков их эффективности, но именно тактика последовательной терапии позволила перевести </w:t>
      </w:r>
      <w:proofErr w:type="spellStart"/>
      <w:r w:rsidRPr="00BC7741">
        <w:rPr>
          <w:szCs w:val="28"/>
        </w:rPr>
        <w:t>мПКР</w:t>
      </w:r>
      <w:proofErr w:type="spellEnd"/>
      <w:r w:rsidRPr="00BC7741">
        <w:rPr>
          <w:szCs w:val="28"/>
        </w:rPr>
        <w:t xml:space="preserve"> в разряд хронических заболеваний и добиться увеличения общей выживаемости больных раком почки с отдаленными метастазами на годы [15].</w:t>
      </w:r>
    </w:p>
    <w:p w:rsidR="00BC7741" w:rsidRPr="00BC7741" w:rsidRDefault="00BC7741" w:rsidP="00BC7741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BC7741">
        <w:rPr>
          <w:szCs w:val="28"/>
        </w:rPr>
        <w:t xml:space="preserve">Заболеваемость почечно-клеточным раком (ПКР) неуклонно растет во всем мире и занимает 2-е место по темпам прироста после ЗНО центральной </w:t>
      </w:r>
      <w:r w:rsidRPr="00BC7741">
        <w:rPr>
          <w:szCs w:val="28"/>
        </w:rPr>
        <w:lastRenderedPageBreak/>
        <w:t xml:space="preserve">нервной системы. Также у 20-40 % больных после радикально выполненного оперативного лечения в последующем отмечается прогрессирование заболевания – появление метастазов [1]. </w:t>
      </w:r>
    </w:p>
    <w:p w:rsidR="00BC7741" w:rsidRPr="00BC7741" w:rsidRDefault="00BC7741" w:rsidP="00BC7741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BC7741">
        <w:rPr>
          <w:szCs w:val="28"/>
        </w:rPr>
        <w:t xml:space="preserve">В настоящее время в арсенале </w:t>
      </w:r>
      <w:proofErr w:type="spellStart"/>
      <w:r w:rsidRPr="00BC7741">
        <w:rPr>
          <w:szCs w:val="28"/>
        </w:rPr>
        <w:t>онкоурологов</w:t>
      </w:r>
      <w:proofErr w:type="spellEnd"/>
      <w:r w:rsidRPr="00BC7741">
        <w:rPr>
          <w:szCs w:val="28"/>
        </w:rPr>
        <w:t xml:space="preserve"> России имеется 7 </w:t>
      </w:r>
      <w:proofErr w:type="spellStart"/>
      <w:r w:rsidRPr="00BC7741">
        <w:rPr>
          <w:szCs w:val="28"/>
        </w:rPr>
        <w:t>таргетных</w:t>
      </w:r>
      <w:proofErr w:type="spellEnd"/>
      <w:r w:rsidRPr="00BC7741">
        <w:rPr>
          <w:szCs w:val="28"/>
        </w:rPr>
        <w:t xml:space="preserve"> препаратов (</w:t>
      </w:r>
      <w:proofErr w:type="spellStart"/>
      <w:r w:rsidRPr="00BC7741">
        <w:rPr>
          <w:szCs w:val="28"/>
        </w:rPr>
        <w:t>авастин</w:t>
      </w:r>
      <w:proofErr w:type="spellEnd"/>
      <w:r w:rsidRPr="00BC7741">
        <w:rPr>
          <w:szCs w:val="28"/>
        </w:rPr>
        <w:t xml:space="preserve">, </w:t>
      </w:r>
      <w:proofErr w:type="spellStart"/>
      <w:r w:rsidRPr="00BC7741">
        <w:rPr>
          <w:szCs w:val="28"/>
        </w:rPr>
        <w:t>нексавар</w:t>
      </w:r>
      <w:proofErr w:type="spellEnd"/>
      <w:r w:rsidRPr="00BC7741">
        <w:rPr>
          <w:szCs w:val="28"/>
        </w:rPr>
        <w:t xml:space="preserve">, </w:t>
      </w:r>
      <w:proofErr w:type="spellStart"/>
      <w:r w:rsidRPr="00BC7741">
        <w:rPr>
          <w:szCs w:val="28"/>
        </w:rPr>
        <w:t>сутент</w:t>
      </w:r>
      <w:proofErr w:type="spellEnd"/>
      <w:r w:rsidRPr="00BC7741">
        <w:rPr>
          <w:szCs w:val="28"/>
        </w:rPr>
        <w:t xml:space="preserve">, </w:t>
      </w:r>
      <w:proofErr w:type="spellStart"/>
      <w:r w:rsidRPr="00BC7741">
        <w:rPr>
          <w:szCs w:val="28"/>
        </w:rPr>
        <w:t>пазопаниб</w:t>
      </w:r>
      <w:proofErr w:type="spellEnd"/>
      <w:r w:rsidRPr="00BC7741">
        <w:rPr>
          <w:szCs w:val="28"/>
        </w:rPr>
        <w:t xml:space="preserve">, </w:t>
      </w:r>
      <w:proofErr w:type="spellStart"/>
      <w:r w:rsidRPr="00BC7741">
        <w:rPr>
          <w:szCs w:val="28"/>
        </w:rPr>
        <w:t>акситиниб</w:t>
      </w:r>
      <w:proofErr w:type="spellEnd"/>
      <w:r w:rsidRPr="00BC7741">
        <w:rPr>
          <w:szCs w:val="28"/>
        </w:rPr>
        <w:t xml:space="preserve">, </w:t>
      </w:r>
      <w:proofErr w:type="spellStart"/>
      <w:r w:rsidRPr="00BC7741">
        <w:rPr>
          <w:szCs w:val="28"/>
        </w:rPr>
        <w:t>темсиролимус</w:t>
      </w:r>
      <w:proofErr w:type="spellEnd"/>
      <w:r w:rsidRPr="00BC7741">
        <w:rPr>
          <w:szCs w:val="28"/>
        </w:rPr>
        <w:t xml:space="preserve">, </w:t>
      </w:r>
      <w:proofErr w:type="spellStart"/>
      <w:r w:rsidRPr="00BC7741">
        <w:rPr>
          <w:szCs w:val="28"/>
        </w:rPr>
        <w:t>афинитор</w:t>
      </w:r>
      <w:proofErr w:type="spellEnd"/>
      <w:r w:rsidRPr="00BC7741">
        <w:rPr>
          <w:szCs w:val="28"/>
        </w:rPr>
        <w:t>).</w:t>
      </w:r>
    </w:p>
    <w:p w:rsidR="00BC7741" w:rsidRPr="00BC7741" w:rsidRDefault="00BC7741" w:rsidP="00BC7741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BC7741">
        <w:rPr>
          <w:color w:val="000000"/>
          <w:szCs w:val="28"/>
          <w:shd w:val="clear" w:color="auto" w:fill="FFFFFF"/>
        </w:rPr>
        <w:t xml:space="preserve">Для </w:t>
      </w:r>
      <w:proofErr w:type="spellStart"/>
      <w:r w:rsidRPr="00BC7741">
        <w:rPr>
          <w:color w:val="000000"/>
          <w:szCs w:val="28"/>
          <w:shd w:val="clear" w:color="auto" w:fill="FFFFFF"/>
        </w:rPr>
        <w:t>таргетных</w:t>
      </w:r>
      <w:proofErr w:type="spellEnd"/>
      <w:r w:rsidRPr="00BC7741">
        <w:rPr>
          <w:color w:val="000000"/>
          <w:szCs w:val="28"/>
          <w:shd w:val="clear" w:color="auto" w:fill="FFFFFF"/>
        </w:rPr>
        <w:t xml:space="preserve"> препаратов характерно воздействие на определенные рецепторы, а наличие этих рецепторов в опухоли определяет возможность предсказания эффективности лечения. </w:t>
      </w:r>
      <w:r w:rsidRPr="00BC7741">
        <w:rPr>
          <w:szCs w:val="28"/>
        </w:rPr>
        <w:t xml:space="preserve">Для улучшения клинического эффекта важно понимать то, в какой последовательности нужно назначать </w:t>
      </w:r>
      <w:proofErr w:type="spellStart"/>
      <w:r w:rsidRPr="00BC7741">
        <w:rPr>
          <w:szCs w:val="28"/>
        </w:rPr>
        <w:t>таргетные</w:t>
      </w:r>
      <w:proofErr w:type="spellEnd"/>
      <w:r w:rsidRPr="00BC7741">
        <w:rPr>
          <w:szCs w:val="28"/>
        </w:rPr>
        <w:t xml:space="preserve"> препараты при метастатическом </w:t>
      </w:r>
      <w:proofErr w:type="spellStart"/>
      <w:r w:rsidRPr="00BC7741">
        <w:rPr>
          <w:szCs w:val="28"/>
        </w:rPr>
        <w:t>почечноклеточном</w:t>
      </w:r>
      <w:proofErr w:type="spellEnd"/>
      <w:r w:rsidRPr="00BC7741">
        <w:rPr>
          <w:szCs w:val="28"/>
        </w:rPr>
        <w:t xml:space="preserve"> раке (</w:t>
      </w:r>
      <w:proofErr w:type="spellStart"/>
      <w:r w:rsidRPr="00BC7741">
        <w:rPr>
          <w:szCs w:val="28"/>
        </w:rPr>
        <w:t>мПКР</w:t>
      </w:r>
      <w:proofErr w:type="spellEnd"/>
      <w:r w:rsidRPr="00BC7741">
        <w:rPr>
          <w:szCs w:val="28"/>
        </w:rPr>
        <w:t xml:space="preserve">). </w:t>
      </w:r>
    </w:p>
    <w:p w:rsidR="00BC7741" w:rsidRPr="00BC7741" w:rsidRDefault="00BC7741" w:rsidP="00BC7741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szCs w:val="28"/>
        </w:rPr>
      </w:pPr>
      <w:r w:rsidRPr="00BC7741">
        <w:rPr>
          <w:szCs w:val="28"/>
        </w:rPr>
        <w:t xml:space="preserve">Успешность и эффективность применения данных препаратов сопровождается рядом проблем, среди которых различные побочные эффекты и высокая стоимость лечения. Оптимальная и наилучшая последовательность применения </w:t>
      </w:r>
      <w:proofErr w:type="spellStart"/>
      <w:r w:rsidRPr="00BC7741">
        <w:rPr>
          <w:szCs w:val="28"/>
        </w:rPr>
        <w:t>таргетных</w:t>
      </w:r>
      <w:proofErr w:type="spellEnd"/>
      <w:r w:rsidRPr="00BC7741">
        <w:rPr>
          <w:szCs w:val="28"/>
        </w:rPr>
        <w:t xml:space="preserve"> препаратов у пациентов с метастазами ПКР позволит отсрочить </w:t>
      </w:r>
      <w:proofErr w:type="spellStart"/>
      <w:r w:rsidRPr="00BC7741">
        <w:rPr>
          <w:szCs w:val="28"/>
        </w:rPr>
        <w:t>рефрактерность</w:t>
      </w:r>
      <w:proofErr w:type="spellEnd"/>
      <w:r w:rsidRPr="00BC7741">
        <w:rPr>
          <w:szCs w:val="28"/>
        </w:rPr>
        <w:t xml:space="preserve"> </w:t>
      </w:r>
      <w:proofErr w:type="spellStart"/>
      <w:r w:rsidRPr="00BC7741">
        <w:rPr>
          <w:szCs w:val="28"/>
        </w:rPr>
        <w:t>таргетных</w:t>
      </w:r>
      <w:proofErr w:type="spellEnd"/>
      <w:r w:rsidRPr="00BC7741">
        <w:rPr>
          <w:szCs w:val="28"/>
        </w:rPr>
        <w:t xml:space="preserve"> агентов и улучшить результаты выживаемости больных [13]. </w:t>
      </w:r>
    </w:p>
    <w:p w:rsidR="00BC7741" w:rsidRPr="00BC7741" w:rsidRDefault="00BC7741" w:rsidP="00BC7741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szCs w:val="28"/>
        </w:rPr>
      </w:pPr>
    </w:p>
    <w:p w:rsidR="00BC7741" w:rsidRPr="00BC7741" w:rsidRDefault="00BC7741" w:rsidP="00BC7741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szCs w:val="28"/>
        </w:rPr>
      </w:pPr>
      <w:r w:rsidRPr="00BC7741">
        <w:rPr>
          <w:b/>
          <w:szCs w:val="28"/>
        </w:rPr>
        <w:t>Цель исследования</w:t>
      </w:r>
    </w:p>
    <w:p w:rsidR="00BC7741" w:rsidRPr="00BC7741" w:rsidRDefault="00BC7741" w:rsidP="00BC7741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BC7741">
        <w:rPr>
          <w:szCs w:val="28"/>
        </w:rPr>
        <w:t xml:space="preserve">В данной работе мы хотели бы поделиться собственным опытом и ретроспективно оценить результаты последовательного применения </w:t>
      </w:r>
      <w:proofErr w:type="spellStart"/>
      <w:r w:rsidRPr="00BC7741">
        <w:rPr>
          <w:szCs w:val="28"/>
        </w:rPr>
        <w:t>таргетных</w:t>
      </w:r>
      <w:proofErr w:type="spellEnd"/>
      <w:r w:rsidRPr="00BC7741">
        <w:rPr>
          <w:szCs w:val="28"/>
        </w:rPr>
        <w:t xml:space="preserve"> препаратов в Москве (</w:t>
      </w:r>
      <w:proofErr w:type="spellStart"/>
      <w:r w:rsidRPr="00BC7741">
        <w:rPr>
          <w:szCs w:val="28"/>
        </w:rPr>
        <w:t>мультикиназных</w:t>
      </w:r>
      <w:proofErr w:type="spellEnd"/>
      <w:r w:rsidRPr="00BC7741">
        <w:rPr>
          <w:szCs w:val="28"/>
        </w:rPr>
        <w:t xml:space="preserve"> ингибиторов): </w:t>
      </w:r>
      <w:proofErr w:type="spellStart"/>
      <w:r w:rsidRPr="00BC7741">
        <w:rPr>
          <w:szCs w:val="28"/>
        </w:rPr>
        <w:t>сорафениба</w:t>
      </w:r>
      <w:proofErr w:type="spellEnd"/>
      <w:r w:rsidRPr="00BC7741">
        <w:rPr>
          <w:szCs w:val="28"/>
        </w:rPr>
        <w:t xml:space="preserve"> с последующим назначением </w:t>
      </w:r>
      <w:proofErr w:type="spellStart"/>
      <w:r w:rsidRPr="00BC7741">
        <w:rPr>
          <w:szCs w:val="28"/>
        </w:rPr>
        <w:t>сунитиниба</w:t>
      </w:r>
      <w:proofErr w:type="spellEnd"/>
      <w:r w:rsidRPr="00BC7741">
        <w:rPr>
          <w:szCs w:val="28"/>
        </w:rPr>
        <w:t xml:space="preserve">, </w:t>
      </w:r>
      <w:proofErr w:type="spellStart"/>
      <w:r w:rsidRPr="00BC7741">
        <w:rPr>
          <w:szCs w:val="28"/>
        </w:rPr>
        <w:t>сунитиниба</w:t>
      </w:r>
      <w:proofErr w:type="spellEnd"/>
      <w:r w:rsidRPr="00BC7741">
        <w:rPr>
          <w:szCs w:val="28"/>
        </w:rPr>
        <w:t xml:space="preserve"> с последующим назначением </w:t>
      </w:r>
      <w:proofErr w:type="spellStart"/>
      <w:r w:rsidRPr="00BC7741">
        <w:rPr>
          <w:szCs w:val="28"/>
        </w:rPr>
        <w:t>сорафениба</w:t>
      </w:r>
      <w:proofErr w:type="spellEnd"/>
      <w:r w:rsidRPr="00BC7741">
        <w:rPr>
          <w:szCs w:val="28"/>
        </w:rPr>
        <w:t xml:space="preserve">, а также  групп </w:t>
      </w:r>
      <w:proofErr w:type="spellStart"/>
      <w:r w:rsidRPr="00BC7741">
        <w:rPr>
          <w:szCs w:val="28"/>
        </w:rPr>
        <w:t>сорафениб</w:t>
      </w:r>
      <w:proofErr w:type="spellEnd"/>
      <w:r w:rsidRPr="00BC7741">
        <w:rPr>
          <w:szCs w:val="28"/>
        </w:rPr>
        <w:t xml:space="preserve"> → </w:t>
      </w:r>
      <w:proofErr w:type="spellStart"/>
      <w:r w:rsidRPr="00BC7741">
        <w:rPr>
          <w:szCs w:val="28"/>
        </w:rPr>
        <w:t>пазопаниб</w:t>
      </w:r>
      <w:proofErr w:type="spellEnd"/>
      <w:r w:rsidRPr="00BC7741">
        <w:rPr>
          <w:szCs w:val="28"/>
        </w:rPr>
        <w:t xml:space="preserve">, </w:t>
      </w:r>
      <w:proofErr w:type="spellStart"/>
      <w:r w:rsidRPr="00BC7741">
        <w:rPr>
          <w:szCs w:val="28"/>
        </w:rPr>
        <w:t>сунитиниб</w:t>
      </w:r>
      <w:proofErr w:type="spellEnd"/>
      <w:r w:rsidRPr="00BC7741">
        <w:rPr>
          <w:szCs w:val="28"/>
        </w:rPr>
        <w:t xml:space="preserve"> → </w:t>
      </w:r>
      <w:proofErr w:type="spellStart"/>
      <w:r w:rsidRPr="00BC7741">
        <w:rPr>
          <w:szCs w:val="28"/>
        </w:rPr>
        <w:t>пазопаниб</w:t>
      </w:r>
      <w:proofErr w:type="spellEnd"/>
      <w:r w:rsidRPr="00BC7741">
        <w:rPr>
          <w:szCs w:val="28"/>
        </w:rPr>
        <w:t xml:space="preserve">, </w:t>
      </w:r>
      <w:proofErr w:type="spellStart"/>
      <w:r w:rsidRPr="00BC7741">
        <w:rPr>
          <w:szCs w:val="28"/>
        </w:rPr>
        <w:t>пазопаниб</w:t>
      </w:r>
      <w:proofErr w:type="spellEnd"/>
      <w:r w:rsidRPr="00BC7741">
        <w:rPr>
          <w:szCs w:val="28"/>
        </w:rPr>
        <w:t xml:space="preserve"> → </w:t>
      </w:r>
      <w:proofErr w:type="spellStart"/>
      <w:r w:rsidRPr="00BC7741">
        <w:rPr>
          <w:szCs w:val="28"/>
        </w:rPr>
        <w:t>сунитиниб</w:t>
      </w:r>
      <w:proofErr w:type="spellEnd"/>
      <w:r w:rsidRPr="00BC7741">
        <w:rPr>
          <w:szCs w:val="28"/>
        </w:rPr>
        <w:t xml:space="preserve"> и </w:t>
      </w:r>
      <w:proofErr w:type="spellStart"/>
      <w:r w:rsidRPr="00BC7741">
        <w:rPr>
          <w:szCs w:val="28"/>
        </w:rPr>
        <w:t>пазопаниб</w:t>
      </w:r>
      <w:proofErr w:type="spellEnd"/>
      <w:r w:rsidRPr="00BC7741">
        <w:rPr>
          <w:szCs w:val="28"/>
        </w:rPr>
        <w:t xml:space="preserve"> → </w:t>
      </w:r>
      <w:proofErr w:type="spellStart"/>
      <w:r w:rsidRPr="00BC7741">
        <w:rPr>
          <w:szCs w:val="28"/>
        </w:rPr>
        <w:t>сорафениб</w:t>
      </w:r>
      <w:proofErr w:type="spellEnd"/>
      <w:r w:rsidRPr="00BC7741">
        <w:rPr>
          <w:szCs w:val="28"/>
        </w:rPr>
        <w:t xml:space="preserve">  у пациентов с </w:t>
      </w:r>
      <w:proofErr w:type="spellStart"/>
      <w:r w:rsidRPr="00BC7741">
        <w:rPr>
          <w:szCs w:val="28"/>
        </w:rPr>
        <w:t>мПКР</w:t>
      </w:r>
      <w:proofErr w:type="spellEnd"/>
      <w:r w:rsidRPr="00BC7741">
        <w:rPr>
          <w:szCs w:val="28"/>
        </w:rPr>
        <w:t>.</w:t>
      </w:r>
    </w:p>
    <w:p w:rsidR="00BC7741" w:rsidRPr="00BC7741" w:rsidRDefault="00BC7741" w:rsidP="00BC7741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8"/>
          <w:shd w:val="clear" w:color="auto" w:fill="FFFFFF"/>
        </w:rPr>
      </w:pPr>
    </w:p>
    <w:p w:rsidR="00BC7741" w:rsidRPr="00BC7741" w:rsidRDefault="00BC7741" w:rsidP="00BC7741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color w:val="000000"/>
          <w:szCs w:val="28"/>
          <w:shd w:val="clear" w:color="auto" w:fill="FFFFFF"/>
        </w:rPr>
      </w:pPr>
      <w:r w:rsidRPr="00BC7741">
        <w:rPr>
          <w:b/>
          <w:color w:val="000000"/>
          <w:szCs w:val="28"/>
          <w:shd w:val="clear" w:color="auto" w:fill="FFFFFF"/>
        </w:rPr>
        <w:t>Материалы и методы</w:t>
      </w:r>
    </w:p>
    <w:p w:rsidR="00BC7741" w:rsidRPr="00BC7741" w:rsidRDefault="00BC7741" w:rsidP="00BC7741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BC7741">
        <w:rPr>
          <w:szCs w:val="28"/>
        </w:rPr>
        <w:t xml:space="preserve">Наша работа не претендует на клиническое исследование, а является ретроспективным сравнительным анализом применения последовательной  </w:t>
      </w:r>
      <w:proofErr w:type="spellStart"/>
      <w:r w:rsidRPr="00BC7741">
        <w:rPr>
          <w:szCs w:val="28"/>
        </w:rPr>
        <w:lastRenderedPageBreak/>
        <w:t>таргетной</w:t>
      </w:r>
      <w:proofErr w:type="spellEnd"/>
      <w:r w:rsidRPr="00BC7741">
        <w:rPr>
          <w:szCs w:val="28"/>
        </w:rPr>
        <w:t xml:space="preserve"> терапии у больных </w:t>
      </w:r>
      <w:proofErr w:type="spellStart"/>
      <w:r w:rsidRPr="00BC7741">
        <w:rPr>
          <w:szCs w:val="28"/>
        </w:rPr>
        <w:t>мРП</w:t>
      </w:r>
      <w:proofErr w:type="spellEnd"/>
      <w:r w:rsidRPr="00BC7741">
        <w:rPr>
          <w:szCs w:val="28"/>
        </w:rPr>
        <w:t xml:space="preserve"> в условиях российского здравоохранения (в частности – в </w:t>
      </w:r>
      <w:proofErr w:type="gramStart"/>
      <w:r w:rsidRPr="00BC7741">
        <w:rPr>
          <w:szCs w:val="28"/>
        </w:rPr>
        <w:t>г</w:t>
      </w:r>
      <w:proofErr w:type="gramEnd"/>
      <w:r w:rsidRPr="00BC7741">
        <w:rPr>
          <w:szCs w:val="28"/>
        </w:rPr>
        <w:t>.</w:t>
      </w:r>
      <w:r w:rsidR="004A1C86">
        <w:rPr>
          <w:szCs w:val="28"/>
        </w:rPr>
        <w:t xml:space="preserve"> </w:t>
      </w:r>
      <w:r w:rsidRPr="00BC7741">
        <w:rPr>
          <w:szCs w:val="28"/>
        </w:rPr>
        <w:t xml:space="preserve">Москва). </w:t>
      </w:r>
      <w:proofErr w:type="gramStart"/>
      <w:r w:rsidRPr="00BC7741">
        <w:rPr>
          <w:szCs w:val="28"/>
        </w:rPr>
        <w:t xml:space="preserve">Контингент данной группы больных (806 человек) был абсолютно разнообразен, группы пациентов не были сбалансированы и подобраны в зависимости от различных характеристик (возраст, пол, функциональный статус по шкале  ECOG и </w:t>
      </w:r>
      <w:proofErr w:type="spellStart"/>
      <w:r w:rsidRPr="00BC7741">
        <w:rPr>
          <w:szCs w:val="28"/>
        </w:rPr>
        <w:t>Карновского</w:t>
      </w:r>
      <w:proofErr w:type="spellEnd"/>
      <w:r w:rsidRPr="00BC7741">
        <w:rPr>
          <w:szCs w:val="28"/>
        </w:rPr>
        <w:t>, морфологического варианта опухоли, локализации метастазов и др.), что присутствовало во многих исследованиях, в том числе и в</w:t>
      </w:r>
      <w:r w:rsidRPr="00BC7741">
        <w:rPr>
          <w:rFonts w:eastAsia="Times New Roman"/>
          <w:color w:val="000000"/>
          <w:szCs w:val="28"/>
          <w:lang w:eastAsia="ru-RU"/>
        </w:rPr>
        <w:t xml:space="preserve"> </w:t>
      </w:r>
      <w:r w:rsidRPr="00BC7741">
        <w:rPr>
          <w:szCs w:val="28"/>
        </w:rPr>
        <w:t xml:space="preserve">многоцентровом </w:t>
      </w:r>
      <w:proofErr w:type="spellStart"/>
      <w:r w:rsidRPr="00BC7741">
        <w:rPr>
          <w:szCs w:val="28"/>
        </w:rPr>
        <w:t>рандомизированном</w:t>
      </w:r>
      <w:proofErr w:type="spellEnd"/>
      <w:r w:rsidRPr="00BC7741">
        <w:rPr>
          <w:szCs w:val="28"/>
        </w:rPr>
        <w:t xml:space="preserve"> исследовании 3 фазы </w:t>
      </w:r>
      <w:r w:rsidRPr="00BC7741">
        <w:rPr>
          <w:rFonts w:eastAsia="Times New Roman"/>
          <w:color w:val="000000"/>
          <w:szCs w:val="28"/>
          <w:lang w:eastAsia="ru-RU"/>
        </w:rPr>
        <w:t xml:space="preserve">SWITCH, где больные </w:t>
      </w:r>
      <w:proofErr w:type="spellStart"/>
      <w:r w:rsidRPr="00BC7741">
        <w:rPr>
          <w:rFonts w:eastAsia="Times New Roman"/>
          <w:color w:val="000000"/>
          <w:szCs w:val="28"/>
          <w:lang w:eastAsia="ru-RU"/>
        </w:rPr>
        <w:t>мПКР</w:t>
      </w:r>
      <w:proofErr w:type="spellEnd"/>
      <w:r w:rsidRPr="00BC7741">
        <w:rPr>
          <w:rFonts w:eastAsia="Times New Roman"/>
          <w:color w:val="000000"/>
          <w:szCs w:val="28"/>
          <w:lang w:eastAsia="ru-RU"/>
        </w:rPr>
        <w:t xml:space="preserve"> с хорошим или промежуточным</w:t>
      </w:r>
      <w:proofErr w:type="gramEnd"/>
      <w:r w:rsidRPr="00BC7741">
        <w:rPr>
          <w:rFonts w:eastAsia="Times New Roman"/>
          <w:color w:val="000000"/>
          <w:szCs w:val="28"/>
          <w:lang w:eastAsia="ru-RU"/>
        </w:rPr>
        <w:t xml:space="preserve"> прогнозом по MSKCC </w:t>
      </w:r>
      <w:r w:rsidRPr="00BC7741">
        <w:rPr>
          <w:color w:val="000000"/>
          <w:szCs w:val="28"/>
          <w:shd w:val="clear" w:color="auto" w:fill="FFFFFF"/>
        </w:rPr>
        <w:t>(</w:t>
      </w:r>
      <w:proofErr w:type="spellStart"/>
      <w:r w:rsidRPr="00BC7741">
        <w:rPr>
          <w:color w:val="000000"/>
          <w:szCs w:val="28"/>
          <w:shd w:val="clear" w:color="auto" w:fill="FFFFFF"/>
        </w:rPr>
        <w:t>Memorial</w:t>
      </w:r>
      <w:proofErr w:type="spellEnd"/>
      <w:r w:rsidRPr="00BC7741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Pr="00BC7741">
        <w:rPr>
          <w:color w:val="000000"/>
          <w:szCs w:val="28"/>
          <w:shd w:val="clear" w:color="auto" w:fill="FFFFFF"/>
        </w:rPr>
        <w:t>Sloan-Kettering</w:t>
      </w:r>
      <w:proofErr w:type="spellEnd"/>
      <w:r w:rsidRPr="00BC7741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Pr="00BC7741">
        <w:rPr>
          <w:color w:val="000000"/>
          <w:szCs w:val="28"/>
          <w:shd w:val="clear" w:color="auto" w:fill="FFFFFF"/>
        </w:rPr>
        <w:t>Cancer</w:t>
      </w:r>
      <w:proofErr w:type="spellEnd"/>
      <w:r w:rsidRPr="00BC7741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Pr="00BC7741">
        <w:rPr>
          <w:color w:val="000000"/>
          <w:szCs w:val="28"/>
          <w:shd w:val="clear" w:color="auto" w:fill="FFFFFF"/>
        </w:rPr>
        <w:t>Centre</w:t>
      </w:r>
      <w:proofErr w:type="spellEnd"/>
      <w:r w:rsidRPr="00BC7741">
        <w:rPr>
          <w:color w:val="000000"/>
          <w:szCs w:val="28"/>
          <w:shd w:val="clear" w:color="auto" w:fill="FFFFFF"/>
        </w:rPr>
        <w:t>)</w:t>
      </w:r>
      <w:r w:rsidRPr="00BC7741">
        <w:rPr>
          <w:rFonts w:eastAsia="Times New Roman"/>
          <w:color w:val="000000"/>
          <w:szCs w:val="28"/>
          <w:lang w:eastAsia="ru-RU"/>
        </w:rPr>
        <w:t xml:space="preserve"> критериям, ECOG, не получавшие ранее терапию, были </w:t>
      </w:r>
      <w:proofErr w:type="spellStart"/>
      <w:r w:rsidRPr="00BC7741">
        <w:rPr>
          <w:rFonts w:eastAsia="Times New Roman"/>
          <w:color w:val="000000"/>
          <w:szCs w:val="28"/>
          <w:lang w:eastAsia="ru-RU"/>
        </w:rPr>
        <w:t>рандомизированы</w:t>
      </w:r>
      <w:proofErr w:type="spellEnd"/>
      <w:r w:rsidRPr="00BC7741">
        <w:rPr>
          <w:rFonts w:eastAsia="Times New Roman"/>
          <w:color w:val="000000"/>
          <w:szCs w:val="28"/>
          <w:lang w:eastAsia="ru-RU"/>
        </w:rPr>
        <w:t xml:space="preserve"> в две группы.</w:t>
      </w:r>
      <w:r w:rsidRPr="00BC7741">
        <w:rPr>
          <w:szCs w:val="28"/>
        </w:rPr>
        <w:t xml:space="preserve"> Характеристики больных в группах получавших последовательную терапию </w:t>
      </w:r>
      <w:proofErr w:type="spellStart"/>
      <w:r w:rsidRPr="00BC7741">
        <w:rPr>
          <w:szCs w:val="28"/>
        </w:rPr>
        <w:t>таргетными</w:t>
      </w:r>
      <w:proofErr w:type="spellEnd"/>
      <w:r w:rsidRPr="00BC7741">
        <w:rPr>
          <w:szCs w:val="28"/>
        </w:rPr>
        <w:t xml:space="preserve"> агентами соответствовали таковым в повседневной клинической практике. Последовательную терапию из 806 человек получали 354 больных (43,92 %).</w:t>
      </w:r>
    </w:p>
    <w:p w:rsidR="00BC7741" w:rsidRPr="00BC7741" w:rsidRDefault="00BC7741" w:rsidP="00BC7741">
      <w:pPr>
        <w:spacing w:line="360" w:lineRule="auto"/>
        <w:ind w:firstLine="709"/>
        <w:jc w:val="both"/>
        <w:rPr>
          <w:szCs w:val="28"/>
        </w:rPr>
      </w:pPr>
      <w:r w:rsidRPr="00BC7741">
        <w:rPr>
          <w:szCs w:val="28"/>
        </w:rPr>
        <w:t xml:space="preserve">Общие данные, в которых отражены </w:t>
      </w:r>
      <w:proofErr w:type="gramStart"/>
      <w:r w:rsidRPr="00BC7741">
        <w:rPr>
          <w:szCs w:val="28"/>
        </w:rPr>
        <w:t>линии</w:t>
      </w:r>
      <w:proofErr w:type="gramEnd"/>
      <w:r w:rsidRPr="00BC7741">
        <w:rPr>
          <w:szCs w:val="28"/>
        </w:rPr>
        <w:t xml:space="preserve"> и сравнительные сроки применения последовательной </w:t>
      </w:r>
      <w:proofErr w:type="spellStart"/>
      <w:r w:rsidRPr="00BC7741">
        <w:rPr>
          <w:szCs w:val="28"/>
        </w:rPr>
        <w:t>таргетной</w:t>
      </w:r>
      <w:proofErr w:type="spellEnd"/>
      <w:r w:rsidRPr="00BC7741">
        <w:rPr>
          <w:szCs w:val="28"/>
        </w:rPr>
        <w:t xml:space="preserve"> терапии представлены в таблице № 1. В некоторых линиях мы не считали сроки применения </w:t>
      </w:r>
      <w:proofErr w:type="spellStart"/>
      <w:r w:rsidRPr="00BC7741">
        <w:rPr>
          <w:szCs w:val="28"/>
        </w:rPr>
        <w:t>таргета</w:t>
      </w:r>
      <w:proofErr w:type="spellEnd"/>
      <w:r w:rsidRPr="00BC7741">
        <w:rPr>
          <w:szCs w:val="28"/>
        </w:rPr>
        <w:t>, в связи с недостаточным количеством пациентов и времени их применения, но лечение и наблюдение за судьбой пациентов, а также набор больных продолжается.</w:t>
      </w:r>
      <w:bookmarkStart w:id="0" w:name="_GoBack"/>
      <w:bookmarkEnd w:id="0"/>
    </w:p>
    <w:p w:rsidR="00BC7741" w:rsidRPr="00BC7741" w:rsidRDefault="00BC7741" w:rsidP="00BC7741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</w:p>
    <w:p w:rsidR="00BC7741" w:rsidRDefault="00BC7741" w:rsidP="00BC774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color w:val="000000"/>
          <w:szCs w:val="28"/>
          <w:lang w:eastAsia="ru-RU"/>
        </w:rPr>
      </w:pPr>
      <w:r w:rsidRPr="00BC7741">
        <w:rPr>
          <w:szCs w:val="28"/>
        </w:rPr>
        <w:t xml:space="preserve">Различная последовательность применения </w:t>
      </w:r>
      <w:proofErr w:type="spellStart"/>
      <w:r w:rsidRPr="00BC7741">
        <w:rPr>
          <w:szCs w:val="28"/>
        </w:rPr>
        <w:t>таргетных</w:t>
      </w:r>
      <w:proofErr w:type="spellEnd"/>
      <w:r w:rsidRPr="00BC7741">
        <w:rPr>
          <w:szCs w:val="28"/>
        </w:rPr>
        <w:t xml:space="preserve"> агентов, получившаяся на нашем материале представлена в таблице № 1</w:t>
      </w:r>
      <w:r w:rsidRPr="00BC7741">
        <w:rPr>
          <w:rFonts w:eastAsia="Times New Roman"/>
          <w:color w:val="000000"/>
          <w:szCs w:val="28"/>
          <w:lang w:eastAsia="ru-RU"/>
        </w:rPr>
        <w:t>.</w:t>
      </w:r>
    </w:p>
    <w:p w:rsidR="00257343" w:rsidRPr="00BC7741" w:rsidRDefault="00257343" w:rsidP="00BC774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color w:val="000000"/>
          <w:szCs w:val="28"/>
          <w:lang w:eastAsia="ru-RU"/>
        </w:rPr>
      </w:pPr>
    </w:p>
    <w:p w:rsidR="00BC7741" w:rsidRPr="00BC7741" w:rsidRDefault="00BC7741" w:rsidP="00BC774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color w:val="000000"/>
          <w:szCs w:val="28"/>
          <w:lang w:eastAsia="ru-RU"/>
        </w:rPr>
      </w:pPr>
      <w:r w:rsidRPr="00BC7741">
        <w:rPr>
          <w:rFonts w:eastAsia="Times New Roman"/>
          <w:color w:val="000000"/>
          <w:szCs w:val="28"/>
          <w:lang w:eastAsia="ru-RU"/>
        </w:rPr>
        <w:t xml:space="preserve">Из таблицы видно, что в большинстве случаев последовательной </w:t>
      </w:r>
      <w:proofErr w:type="gramStart"/>
      <w:r w:rsidRPr="00BC7741">
        <w:rPr>
          <w:rFonts w:eastAsia="Times New Roman"/>
          <w:color w:val="000000"/>
          <w:szCs w:val="28"/>
          <w:lang w:eastAsia="ru-RU"/>
        </w:rPr>
        <w:t>ТТ</w:t>
      </w:r>
      <w:proofErr w:type="gramEnd"/>
      <w:r w:rsidRPr="00BC7741">
        <w:rPr>
          <w:rFonts w:eastAsia="Times New Roman"/>
          <w:color w:val="000000"/>
          <w:szCs w:val="28"/>
          <w:lang w:eastAsia="ru-RU"/>
        </w:rPr>
        <w:t xml:space="preserve"> смена первого </w:t>
      </w:r>
      <w:proofErr w:type="spellStart"/>
      <w:r w:rsidRPr="00BC7741">
        <w:rPr>
          <w:rFonts w:eastAsia="Times New Roman"/>
          <w:color w:val="000000"/>
          <w:szCs w:val="28"/>
          <w:lang w:eastAsia="ru-RU"/>
        </w:rPr>
        <w:t>таргетного</w:t>
      </w:r>
      <w:proofErr w:type="spellEnd"/>
      <w:r w:rsidRPr="00BC7741">
        <w:rPr>
          <w:rFonts w:eastAsia="Times New Roman"/>
          <w:color w:val="000000"/>
          <w:szCs w:val="28"/>
          <w:lang w:eastAsia="ru-RU"/>
        </w:rPr>
        <w:t xml:space="preserve"> агента (ингибитора </w:t>
      </w:r>
      <w:proofErr w:type="spellStart"/>
      <w:r w:rsidRPr="00BC7741">
        <w:rPr>
          <w:rFonts w:eastAsia="Times New Roman"/>
          <w:color w:val="000000"/>
          <w:szCs w:val="28"/>
          <w:lang w:eastAsia="ru-RU"/>
        </w:rPr>
        <w:t>тирозинкиназ</w:t>
      </w:r>
      <w:proofErr w:type="spellEnd"/>
      <w:r w:rsidRPr="00BC7741">
        <w:rPr>
          <w:rFonts w:eastAsia="Times New Roman"/>
          <w:color w:val="000000"/>
          <w:szCs w:val="28"/>
          <w:lang w:eastAsia="ru-RU"/>
        </w:rPr>
        <w:t>) происходила на препарат из той же группы (статистически значимы среди них – первые 6 групп пациентов (</w:t>
      </w:r>
      <w:r w:rsidRPr="00BC7741">
        <w:rPr>
          <w:rFonts w:eastAsia="Times New Roman"/>
          <w:color w:val="000000"/>
          <w:szCs w:val="28"/>
          <w:lang w:val="en-US" w:eastAsia="ru-RU"/>
        </w:rPr>
        <w:t>n</w:t>
      </w:r>
      <w:r w:rsidRPr="00BC7741">
        <w:rPr>
          <w:rFonts w:eastAsia="Times New Roman"/>
          <w:color w:val="000000"/>
          <w:szCs w:val="28"/>
          <w:lang w:eastAsia="ru-RU"/>
        </w:rPr>
        <w:t xml:space="preserve"> = 220, 62,15%)). Следующей по статистически значимой частоте применения явились больные, получавшие в первой - второй линии ингибиторы </w:t>
      </w:r>
      <w:proofErr w:type="spellStart"/>
      <w:r w:rsidRPr="00BC7741">
        <w:rPr>
          <w:rFonts w:eastAsia="Times New Roman"/>
          <w:color w:val="000000"/>
          <w:szCs w:val="28"/>
          <w:lang w:eastAsia="ru-RU"/>
        </w:rPr>
        <w:t>тирозинкиназ</w:t>
      </w:r>
      <w:proofErr w:type="spellEnd"/>
      <w:r w:rsidRPr="00BC7741">
        <w:rPr>
          <w:rFonts w:eastAsia="Times New Roman"/>
          <w:color w:val="000000"/>
          <w:szCs w:val="28"/>
          <w:lang w:eastAsia="ru-RU"/>
        </w:rPr>
        <w:t xml:space="preserve"> и ингибиторы </w:t>
      </w:r>
      <w:r w:rsidRPr="00BC7741">
        <w:rPr>
          <w:rFonts w:eastAsia="Times New Roman"/>
          <w:color w:val="000000"/>
          <w:szCs w:val="28"/>
          <w:lang w:val="en-US" w:eastAsia="ru-RU"/>
        </w:rPr>
        <w:t>m</w:t>
      </w:r>
      <w:r w:rsidRPr="00BC7741">
        <w:rPr>
          <w:rFonts w:eastAsia="Times New Roman"/>
          <w:color w:val="000000"/>
          <w:szCs w:val="28"/>
          <w:lang w:eastAsia="ru-RU"/>
        </w:rPr>
        <w:t>-</w:t>
      </w:r>
      <w:r w:rsidRPr="00BC7741">
        <w:rPr>
          <w:rFonts w:eastAsia="Times New Roman"/>
          <w:color w:val="000000"/>
          <w:szCs w:val="28"/>
          <w:lang w:val="en-US" w:eastAsia="ru-RU"/>
        </w:rPr>
        <w:t>TOR</w:t>
      </w:r>
      <w:r w:rsidRPr="00BC7741">
        <w:rPr>
          <w:rFonts w:eastAsia="Times New Roman"/>
          <w:color w:val="000000"/>
          <w:szCs w:val="28"/>
          <w:lang w:eastAsia="ru-RU"/>
        </w:rPr>
        <w:t>.</w:t>
      </w:r>
    </w:p>
    <w:p w:rsidR="00BC7741" w:rsidRDefault="00BC7741" w:rsidP="00BC774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color w:val="000000"/>
          <w:szCs w:val="28"/>
          <w:lang w:eastAsia="ru-RU"/>
        </w:rPr>
      </w:pPr>
      <w:r w:rsidRPr="00BC7741">
        <w:rPr>
          <w:rFonts w:eastAsia="Times New Roman"/>
          <w:color w:val="000000"/>
          <w:szCs w:val="28"/>
          <w:lang w:eastAsia="ru-RU"/>
        </w:rPr>
        <w:lastRenderedPageBreak/>
        <w:t xml:space="preserve">В группах больных последовательной терапии ингибиторами </w:t>
      </w:r>
      <w:proofErr w:type="spellStart"/>
      <w:r w:rsidRPr="00BC7741">
        <w:rPr>
          <w:rFonts w:eastAsia="Times New Roman"/>
          <w:color w:val="000000"/>
          <w:szCs w:val="28"/>
          <w:lang w:eastAsia="ru-RU"/>
        </w:rPr>
        <w:t>тирозинкиназ</w:t>
      </w:r>
      <w:proofErr w:type="spellEnd"/>
      <w:r w:rsidRPr="00BC7741">
        <w:rPr>
          <w:rFonts w:eastAsia="Times New Roman"/>
          <w:color w:val="000000"/>
          <w:szCs w:val="28"/>
          <w:lang w:eastAsia="ru-RU"/>
        </w:rPr>
        <w:t xml:space="preserve"> со статистически значимым количеством пациентов, по характеристикам больные распределились следующим образом. Более детальная характеристика представлена в таблице № 2.</w:t>
      </w:r>
    </w:p>
    <w:p w:rsidR="00257343" w:rsidRPr="00BC7741" w:rsidRDefault="00257343" w:rsidP="00BC774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color w:val="000000"/>
          <w:szCs w:val="28"/>
          <w:lang w:eastAsia="ru-RU"/>
        </w:rPr>
      </w:pPr>
    </w:p>
    <w:p w:rsidR="00BC7741" w:rsidRPr="00BC7741" w:rsidRDefault="00BC7741" w:rsidP="00BC7741">
      <w:pPr>
        <w:spacing w:line="360" w:lineRule="auto"/>
        <w:ind w:firstLine="709"/>
        <w:jc w:val="both"/>
        <w:rPr>
          <w:bCs/>
          <w:szCs w:val="28"/>
        </w:rPr>
      </w:pPr>
      <w:proofErr w:type="gramStart"/>
      <w:r w:rsidRPr="00BC7741">
        <w:rPr>
          <w:color w:val="000000"/>
          <w:szCs w:val="28"/>
          <w:shd w:val="clear" w:color="auto" w:fill="FFFFFF"/>
        </w:rPr>
        <w:t>Важное значение</w:t>
      </w:r>
      <w:proofErr w:type="gramEnd"/>
      <w:r w:rsidRPr="00BC7741">
        <w:rPr>
          <w:color w:val="000000"/>
          <w:szCs w:val="28"/>
          <w:shd w:val="clear" w:color="auto" w:fill="FFFFFF"/>
        </w:rPr>
        <w:t xml:space="preserve"> в индивидуализации лечения </w:t>
      </w:r>
      <w:proofErr w:type="spellStart"/>
      <w:r w:rsidRPr="00BC7741">
        <w:rPr>
          <w:color w:val="000000"/>
          <w:szCs w:val="28"/>
          <w:shd w:val="clear" w:color="auto" w:fill="FFFFFF"/>
        </w:rPr>
        <w:t>мПКР</w:t>
      </w:r>
      <w:proofErr w:type="spellEnd"/>
      <w:r w:rsidRPr="00BC7741">
        <w:rPr>
          <w:color w:val="000000"/>
          <w:szCs w:val="28"/>
          <w:shd w:val="clear" w:color="auto" w:fill="FFFFFF"/>
        </w:rPr>
        <w:t xml:space="preserve"> придается данным о пациенте. Во многих </w:t>
      </w:r>
      <w:proofErr w:type="spellStart"/>
      <w:r w:rsidRPr="00BC7741">
        <w:rPr>
          <w:color w:val="000000"/>
          <w:szCs w:val="28"/>
          <w:shd w:val="clear" w:color="auto" w:fill="FFFFFF"/>
        </w:rPr>
        <w:t>рандомизированных</w:t>
      </w:r>
      <w:proofErr w:type="spellEnd"/>
      <w:r w:rsidRPr="00BC7741">
        <w:rPr>
          <w:color w:val="000000"/>
          <w:szCs w:val="28"/>
          <w:shd w:val="clear" w:color="auto" w:fill="FFFFFF"/>
        </w:rPr>
        <w:t xml:space="preserve"> исследованиях учитываются функциональный статус по шкале </w:t>
      </w:r>
      <w:proofErr w:type="gramStart"/>
      <w:r w:rsidRPr="00BC7741">
        <w:rPr>
          <w:bCs/>
          <w:szCs w:val="28"/>
        </w:rPr>
        <w:t>ECOG</w:t>
      </w:r>
      <w:proofErr w:type="gramEnd"/>
      <w:r w:rsidRPr="00BC7741">
        <w:rPr>
          <w:color w:val="000000"/>
          <w:szCs w:val="28"/>
          <w:shd w:val="clear" w:color="auto" w:fill="FFFFFF"/>
        </w:rPr>
        <w:t xml:space="preserve"> и указывается </w:t>
      </w:r>
      <w:r w:rsidRPr="00BC7741">
        <w:rPr>
          <w:bCs/>
          <w:szCs w:val="28"/>
        </w:rPr>
        <w:t xml:space="preserve">прогноз по шкале MSKCC. </w:t>
      </w:r>
      <w:r w:rsidRPr="00BC7741">
        <w:rPr>
          <w:color w:val="000000"/>
          <w:szCs w:val="28"/>
          <w:shd w:val="clear" w:color="auto" w:fill="FFFFFF"/>
        </w:rPr>
        <w:t xml:space="preserve">Возрастная характеристика </w:t>
      </w:r>
      <w:proofErr w:type="gramStart"/>
      <w:r w:rsidRPr="00BC7741">
        <w:rPr>
          <w:color w:val="000000"/>
          <w:szCs w:val="28"/>
          <w:shd w:val="clear" w:color="auto" w:fill="FFFFFF"/>
        </w:rPr>
        <w:t>пациентов</w:t>
      </w:r>
      <w:proofErr w:type="gramEnd"/>
      <w:r w:rsidRPr="00BC7741">
        <w:rPr>
          <w:color w:val="000000"/>
          <w:szCs w:val="28"/>
          <w:shd w:val="clear" w:color="auto" w:fill="FFFFFF"/>
        </w:rPr>
        <w:t xml:space="preserve"> несомненно должна учитываться из-за наличия у пожилых больных немалого числа различных сопутствующих заболеваний и возможности формирования тяжелых побочных явлений. Но пожилые больные ограниченно включаются в </w:t>
      </w:r>
      <w:proofErr w:type="spellStart"/>
      <w:r w:rsidRPr="00BC7741">
        <w:rPr>
          <w:color w:val="000000"/>
          <w:szCs w:val="28"/>
          <w:shd w:val="clear" w:color="auto" w:fill="FFFFFF"/>
        </w:rPr>
        <w:t>рандомизированные</w:t>
      </w:r>
      <w:proofErr w:type="spellEnd"/>
      <w:r w:rsidRPr="00BC7741">
        <w:rPr>
          <w:color w:val="000000"/>
          <w:szCs w:val="28"/>
          <w:shd w:val="clear" w:color="auto" w:fill="FFFFFF"/>
        </w:rPr>
        <w:t xml:space="preserve"> исследования.</w:t>
      </w:r>
      <w:r w:rsidRPr="00BC7741">
        <w:rPr>
          <w:rStyle w:val="apple-converted-space"/>
          <w:color w:val="000000"/>
          <w:szCs w:val="28"/>
          <w:shd w:val="clear" w:color="auto" w:fill="FFFFFF"/>
        </w:rPr>
        <w:t> </w:t>
      </w:r>
      <w:proofErr w:type="gramStart"/>
      <w:r w:rsidRPr="00BC7741">
        <w:rPr>
          <w:rStyle w:val="apple-converted-space"/>
          <w:color w:val="000000"/>
          <w:szCs w:val="28"/>
          <w:shd w:val="clear" w:color="auto" w:fill="FFFFFF"/>
        </w:rPr>
        <w:t xml:space="preserve">В нашей ретроспективной работе мы не во всех случаях указывали статус по шкале </w:t>
      </w:r>
      <w:r w:rsidRPr="00BC7741">
        <w:rPr>
          <w:bCs/>
          <w:szCs w:val="28"/>
        </w:rPr>
        <w:t xml:space="preserve">ECOG и прогноз по MSKCC при назначении последовательной </w:t>
      </w:r>
      <w:proofErr w:type="spellStart"/>
      <w:r w:rsidRPr="00BC7741">
        <w:rPr>
          <w:bCs/>
          <w:szCs w:val="28"/>
        </w:rPr>
        <w:t>таргетной</w:t>
      </w:r>
      <w:proofErr w:type="spellEnd"/>
      <w:r w:rsidRPr="00BC7741">
        <w:rPr>
          <w:bCs/>
          <w:szCs w:val="28"/>
        </w:rPr>
        <w:t xml:space="preserve"> терапии, что отражено в таблице № 2, в связи с тем, что данная когорта пациентов получала лечение в различных медицинских учреждениях Москвы, под контролем разных врачей и </w:t>
      </w:r>
      <w:r w:rsidRPr="00BC7741">
        <w:rPr>
          <w:color w:val="000000"/>
          <w:szCs w:val="28"/>
          <w:shd w:val="clear" w:color="auto" w:fill="FFFFFF"/>
        </w:rPr>
        <w:t>выбор терапии определялся клиницистом индивидуально в каждом конкретном случае, с учетом имеющейся</w:t>
      </w:r>
      <w:proofErr w:type="gramEnd"/>
      <w:r w:rsidRPr="00BC7741">
        <w:rPr>
          <w:color w:val="000000"/>
          <w:szCs w:val="28"/>
          <w:shd w:val="clear" w:color="auto" w:fill="FFFFFF"/>
        </w:rPr>
        <w:t xml:space="preserve"> информации о каждом пациенте, различных характеристик и течении метастатического процесса.</w:t>
      </w:r>
    </w:p>
    <w:p w:rsidR="00BC7741" w:rsidRPr="00BC7741" w:rsidRDefault="00BC7741" w:rsidP="00BC7741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BC7741">
        <w:rPr>
          <w:szCs w:val="28"/>
        </w:rPr>
        <w:t xml:space="preserve">До сих пор существуют дискуссии по поводу подходов к лечению метастазов рака почки между выбором активной хирургической тактики, </w:t>
      </w:r>
      <w:proofErr w:type="spellStart"/>
      <w:r w:rsidRPr="00BC7741">
        <w:rPr>
          <w:szCs w:val="28"/>
        </w:rPr>
        <w:t>таргетной</w:t>
      </w:r>
      <w:proofErr w:type="spellEnd"/>
      <w:r w:rsidRPr="00BC7741">
        <w:rPr>
          <w:szCs w:val="28"/>
        </w:rPr>
        <w:t xml:space="preserve"> терапии и лучевой терапии. Мы являемся сторонниками агрессивного подхода к лечению метастазов, особенно </w:t>
      </w:r>
      <w:proofErr w:type="spellStart"/>
      <w:r w:rsidRPr="00BC7741">
        <w:rPr>
          <w:szCs w:val="28"/>
        </w:rPr>
        <w:t>солитарных</w:t>
      </w:r>
      <w:proofErr w:type="spellEnd"/>
      <w:r w:rsidRPr="00BC7741">
        <w:rPr>
          <w:szCs w:val="28"/>
        </w:rPr>
        <w:t xml:space="preserve"> и единичных, с применением комбинированного и комплексного методов лечения. Поэтому во всех возможных, целесообразных и необходимых случаях, особенно при </w:t>
      </w:r>
      <w:proofErr w:type="spellStart"/>
      <w:r w:rsidRPr="00BC7741">
        <w:rPr>
          <w:szCs w:val="28"/>
        </w:rPr>
        <w:t>солитарных</w:t>
      </w:r>
      <w:proofErr w:type="spellEnd"/>
      <w:r w:rsidRPr="00BC7741">
        <w:rPr>
          <w:szCs w:val="28"/>
        </w:rPr>
        <w:t xml:space="preserve"> и единичных метастазах старались выполнять </w:t>
      </w:r>
      <w:proofErr w:type="spellStart"/>
      <w:r w:rsidRPr="00BC7741">
        <w:rPr>
          <w:szCs w:val="28"/>
        </w:rPr>
        <w:t>метастазэктомию</w:t>
      </w:r>
      <w:proofErr w:type="spellEnd"/>
      <w:r w:rsidRPr="00BC7741">
        <w:rPr>
          <w:szCs w:val="28"/>
        </w:rPr>
        <w:t xml:space="preserve"> на фоне проводимой </w:t>
      </w:r>
      <w:proofErr w:type="spellStart"/>
      <w:r w:rsidRPr="00BC7741">
        <w:rPr>
          <w:szCs w:val="28"/>
        </w:rPr>
        <w:t>таргетной</w:t>
      </w:r>
      <w:proofErr w:type="spellEnd"/>
      <w:r w:rsidRPr="00BC7741">
        <w:rPr>
          <w:szCs w:val="28"/>
        </w:rPr>
        <w:t xml:space="preserve"> терапии, либо лучевую терапию. Характеристика групп пациентов, получивших ДЛТ, представлена в таблице № 3. </w:t>
      </w:r>
    </w:p>
    <w:p w:rsidR="00BC7741" w:rsidRDefault="00BC7741" w:rsidP="00BC7741">
      <w:pPr>
        <w:spacing w:line="360" w:lineRule="auto"/>
        <w:ind w:firstLine="709"/>
        <w:jc w:val="both"/>
        <w:rPr>
          <w:szCs w:val="28"/>
        </w:rPr>
      </w:pPr>
      <w:r w:rsidRPr="00BC7741">
        <w:rPr>
          <w:szCs w:val="28"/>
        </w:rPr>
        <w:lastRenderedPageBreak/>
        <w:t xml:space="preserve">В таблице № 4 представлены операции, выполненные пациентам, получавшим последовательную терапию </w:t>
      </w:r>
      <w:proofErr w:type="spellStart"/>
      <w:r w:rsidRPr="00BC7741">
        <w:rPr>
          <w:szCs w:val="28"/>
        </w:rPr>
        <w:t>таргетными</w:t>
      </w:r>
      <w:proofErr w:type="spellEnd"/>
      <w:r w:rsidRPr="00BC7741">
        <w:rPr>
          <w:szCs w:val="28"/>
        </w:rPr>
        <w:t xml:space="preserve"> препаратами. Операции также можно разделить на 2 группы: </w:t>
      </w:r>
      <w:proofErr w:type="spellStart"/>
      <w:r w:rsidRPr="00BC7741">
        <w:rPr>
          <w:szCs w:val="28"/>
        </w:rPr>
        <w:t>метастазэктомии</w:t>
      </w:r>
      <w:proofErr w:type="spellEnd"/>
      <w:r w:rsidRPr="00BC7741">
        <w:rPr>
          <w:szCs w:val="28"/>
        </w:rPr>
        <w:t xml:space="preserve"> и симптоматические операции с целью улучшения качества жизни.</w:t>
      </w:r>
    </w:p>
    <w:p w:rsidR="00257343" w:rsidRPr="00BC7741" w:rsidRDefault="00257343" w:rsidP="00BC7741">
      <w:pPr>
        <w:spacing w:line="360" w:lineRule="auto"/>
        <w:ind w:firstLine="709"/>
        <w:jc w:val="both"/>
        <w:rPr>
          <w:szCs w:val="28"/>
        </w:rPr>
      </w:pPr>
    </w:p>
    <w:p w:rsidR="00BC7741" w:rsidRPr="00BC7741" w:rsidRDefault="00BC7741" w:rsidP="00BC7741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FF0000"/>
          <w:szCs w:val="28"/>
        </w:rPr>
      </w:pPr>
      <w:r w:rsidRPr="00BC7741">
        <w:rPr>
          <w:b/>
          <w:szCs w:val="28"/>
        </w:rPr>
        <w:t xml:space="preserve">Применение последовательности терапии </w:t>
      </w:r>
      <w:proofErr w:type="spellStart"/>
      <w:r w:rsidRPr="00BC7741">
        <w:rPr>
          <w:b/>
          <w:szCs w:val="28"/>
        </w:rPr>
        <w:t>сорафениб</w:t>
      </w:r>
      <w:proofErr w:type="spellEnd"/>
      <w:r w:rsidRPr="00BC7741">
        <w:rPr>
          <w:b/>
          <w:szCs w:val="28"/>
        </w:rPr>
        <w:t xml:space="preserve"> → </w:t>
      </w:r>
      <w:proofErr w:type="spellStart"/>
      <w:r w:rsidRPr="00BC7741">
        <w:rPr>
          <w:b/>
          <w:szCs w:val="28"/>
        </w:rPr>
        <w:t>сунитиниб</w:t>
      </w:r>
      <w:proofErr w:type="spellEnd"/>
      <w:r w:rsidRPr="00BC7741">
        <w:rPr>
          <w:b/>
          <w:szCs w:val="28"/>
        </w:rPr>
        <w:t xml:space="preserve"> и </w:t>
      </w:r>
      <w:proofErr w:type="spellStart"/>
      <w:r w:rsidRPr="00BC7741">
        <w:rPr>
          <w:b/>
          <w:szCs w:val="28"/>
        </w:rPr>
        <w:t>сунитиниб</w:t>
      </w:r>
      <w:proofErr w:type="spellEnd"/>
      <w:r w:rsidRPr="00BC7741">
        <w:rPr>
          <w:b/>
          <w:szCs w:val="28"/>
        </w:rPr>
        <w:t xml:space="preserve"> → </w:t>
      </w:r>
      <w:proofErr w:type="spellStart"/>
      <w:r w:rsidRPr="00BC7741">
        <w:rPr>
          <w:b/>
          <w:szCs w:val="28"/>
        </w:rPr>
        <w:t>сорафениб</w:t>
      </w:r>
      <w:proofErr w:type="spellEnd"/>
      <w:r w:rsidRPr="00BC7741">
        <w:rPr>
          <w:b/>
          <w:szCs w:val="28"/>
        </w:rPr>
        <w:t>.</w:t>
      </w:r>
    </w:p>
    <w:p w:rsidR="00BC7741" w:rsidRPr="00BC7741" w:rsidRDefault="00BC7741" w:rsidP="00BC7741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BC7741">
        <w:rPr>
          <w:szCs w:val="28"/>
        </w:rPr>
        <w:t xml:space="preserve">Пациентов получавших в первой линии </w:t>
      </w:r>
      <w:proofErr w:type="spellStart"/>
      <w:r w:rsidRPr="00BC7741">
        <w:rPr>
          <w:szCs w:val="28"/>
        </w:rPr>
        <w:t>сорафениб</w:t>
      </w:r>
      <w:proofErr w:type="spellEnd"/>
      <w:r w:rsidRPr="00BC7741">
        <w:rPr>
          <w:szCs w:val="28"/>
        </w:rPr>
        <w:t xml:space="preserve"> с последующим назначением </w:t>
      </w:r>
      <w:proofErr w:type="spellStart"/>
      <w:r w:rsidRPr="00BC7741">
        <w:rPr>
          <w:szCs w:val="28"/>
        </w:rPr>
        <w:t>сунитиниба</w:t>
      </w:r>
      <w:proofErr w:type="spellEnd"/>
      <w:r w:rsidRPr="00BC7741">
        <w:rPr>
          <w:szCs w:val="28"/>
        </w:rPr>
        <w:t xml:space="preserve">  было 85 (24,0 %) человек, больных получивших в первой линии </w:t>
      </w:r>
      <w:proofErr w:type="spellStart"/>
      <w:r w:rsidRPr="00BC7741">
        <w:rPr>
          <w:szCs w:val="28"/>
        </w:rPr>
        <w:t>сунитиниб</w:t>
      </w:r>
      <w:proofErr w:type="spellEnd"/>
      <w:r w:rsidRPr="00BC7741">
        <w:rPr>
          <w:szCs w:val="28"/>
        </w:rPr>
        <w:t xml:space="preserve"> с последующим назначением </w:t>
      </w:r>
      <w:proofErr w:type="spellStart"/>
      <w:r w:rsidRPr="00BC7741">
        <w:rPr>
          <w:szCs w:val="28"/>
        </w:rPr>
        <w:t>сорафениба</w:t>
      </w:r>
      <w:proofErr w:type="spellEnd"/>
      <w:r w:rsidRPr="00BC7741">
        <w:rPr>
          <w:szCs w:val="28"/>
        </w:rPr>
        <w:t xml:space="preserve"> было 35 (9,89 %) больных.</w:t>
      </w:r>
      <w:r w:rsidRPr="00BC7741">
        <w:rPr>
          <w:color w:val="1F497D"/>
          <w:szCs w:val="28"/>
        </w:rPr>
        <w:t xml:space="preserve"> </w:t>
      </w:r>
      <w:r w:rsidRPr="00BC7741">
        <w:rPr>
          <w:szCs w:val="28"/>
        </w:rPr>
        <w:t xml:space="preserve">Подробная характеристика групп пациентов и сравнение с исследованием </w:t>
      </w:r>
      <w:r w:rsidRPr="00BC7741">
        <w:rPr>
          <w:rStyle w:val="a5"/>
          <w:szCs w:val="28"/>
          <w:lang w:val="en-US"/>
        </w:rPr>
        <w:t>SWITCH</w:t>
      </w:r>
      <w:r w:rsidRPr="00BC7741">
        <w:rPr>
          <w:szCs w:val="28"/>
        </w:rPr>
        <w:t xml:space="preserve"> представлена в таблице №2. Из данной когорты больных дистанционную лучевую терапию на </w:t>
      </w:r>
      <w:proofErr w:type="spellStart"/>
      <w:r w:rsidRPr="00BC7741">
        <w:rPr>
          <w:szCs w:val="28"/>
        </w:rPr>
        <w:t>мтс</w:t>
      </w:r>
      <w:proofErr w:type="spellEnd"/>
      <w:r w:rsidRPr="00BC7741">
        <w:rPr>
          <w:szCs w:val="28"/>
        </w:rPr>
        <w:t xml:space="preserve"> очаги получили 13 человек: 9 (10,59 %) пациентов в группе </w:t>
      </w:r>
      <w:proofErr w:type="spellStart"/>
      <w:r w:rsidRPr="00BC7741">
        <w:rPr>
          <w:szCs w:val="28"/>
        </w:rPr>
        <w:t>сорафениб</w:t>
      </w:r>
      <w:proofErr w:type="spellEnd"/>
      <w:r w:rsidRPr="00BC7741">
        <w:rPr>
          <w:szCs w:val="28"/>
        </w:rPr>
        <w:t xml:space="preserve"> → </w:t>
      </w:r>
      <w:proofErr w:type="spellStart"/>
      <w:r w:rsidRPr="00BC7741">
        <w:rPr>
          <w:szCs w:val="28"/>
        </w:rPr>
        <w:t>сунитиниб</w:t>
      </w:r>
      <w:proofErr w:type="spellEnd"/>
      <w:r w:rsidRPr="00BC7741">
        <w:rPr>
          <w:szCs w:val="28"/>
        </w:rPr>
        <w:t xml:space="preserve"> и 4 (11,43 %) больных в группе </w:t>
      </w:r>
      <w:proofErr w:type="spellStart"/>
      <w:r w:rsidRPr="00BC7741">
        <w:rPr>
          <w:szCs w:val="28"/>
        </w:rPr>
        <w:t>сунитиниб</w:t>
      </w:r>
      <w:proofErr w:type="spellEnd"/>
      <w:r w:rsidRPr="00BC7741">
        <w:rPr>
          <w:szCs w:val="28"/>
        </w:rPr>
        <w:t xml:space="preserve">  → </w:t>
      </w:r>
      <w:proofErr w:type="spellStart"/>
      <w:r w:rsidRPr="00BC7741">
        <w:rPr>
          <w:szCs w:val="28"/>
        </w:rPr>
        <w:t>сорафениб</w:t>
      </w:r>
      <w:proofErr w:type="spellEnd"/>
      <w:r w:rsidRPr="00BC7741">
        <w:rPr>
          <w:szCs w:val="28"/>
        </w:rPr>
        <w:t xml:space="preserve"> (таблица №3). В таблице № 4 представлены операции, выполненные пациентам, получавшим последовательную терапию </w:t>
      </w:r>
      <w:proofErr w:type="spellStart"/>
      <w:r w:rsidRPr="00BC7741">
        <w:rPr>
          <w:szCs w:val="28"/>
        </w:rPr>
        <w:t>таргетными</w:t>
      </w:r>
      <w:proofErr w:type="spellEnd"/>
      <w:r w:rsidRPr="00BC7741">
        <w:rPr>
          <w:szCs w:val="28"/>
        </w:rPr>
        <w:t xml:space="preserve"> препаратами.</w:t>
      </w:r>
    </w:p>
    <w:p w:rsidR="00BC7741" w:rsidRPr="00BC7741" w:rsidRDefault="00BC7741" w:rsidP="00BC7741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BC7741">
        <w:rPr>
          <w:szCs w:val="28"/>
        </w:rPr>
        <w:t xml:space="preserve">При оценке результатов применения последовательных линий терапии в группах </w:t>
      </w:r>
      <w:proofErr w:type="spellStart"/>
      <w:r w:rsidRPr="00BC7741">
        <w:rPr>
          <w:szCs w:val="28"/>
        </w:rPr>
        <w:t>сорафениб</w:t>
      </w:r>
      <w:proofErr w:type="spellEnd"/>
      <w:r w:rsidRPr="00BC7741">
        <w:rPr>
          <w:szCs w:val="28"/>
        </w:rPr>
        <w:t xml:space="preserve"> → </w:t>
      </w:r>
      <w:proofErr w:type="spellStart"/>
      <w:r w:rsidRPr="00BC7741">
        <w:rPr>
          <w:szCs w:val="28"/>
        </w:rPr>
        <w:t>сунитиниб</w:t>
      </w:r>
      <w:proofErr w:type="spellEnd"/>
      <w:r w:rsidRPr="00BC7741">
        <w:rPr>
          <w:szCs w:val="28"/>
        </w:rPr>
        <w:t xml:space="preserve"> и </w:t>
      </w:r>
      <w:proofErr w:type="spellStart"/>
      <w:r w:rsidRPr="00BC7741">
        <w:rPr>
          <w:szCs w:val="28"/>
        </w:rPr>
        <w:t>сунитиниб</w:t>
      </w:r>
      <w:proofErr w:type="spellEnd"/>
      <w:r w:rsidRPr="00BC7741">
        <w:rPr>
          <w:szCs w:val="28"/>
        </w:rPr>
        <w:t xml:space="preserve"> → </w:t>
      </w:r>
      <w:proofErr w:type="spellStart"/>
      <w:r w:rsidRPr="00BC7741">
        <w:rPr>
          <w:szCs w:val="28"/>
        </w:rPr>
        <w:t>сорафениб</w:t>
      </w:r>
      <w:proofErr w:type="spellEnd"/>
      <w:r w:rsidRPr="00BC7741">
        <w:rPr>
          <w:szCs w:val="28"/>
        </w:rPr>
        <w:t xml:space="preserve">  выявлено, что суммарная медиана выживаемости без прогрессирования (</w:t>
      </w:r>
      <w:proofErr w:type="spellStart"/>
      <w:r w:rsidRPr="00BC7741">
        <w:rPr>
          <w:szCs w:val="28"/>
        </w:rPr>
        <w:t>сВБП</w:t>
      </w:r>
      <w:proofErr w:type="spellEnd"/>
      <w:r w:rsidRPr="00BC7741">
        <w:rPr>
          <w:szCs w:val="28"/>
        </w:rPr>
        <w:t xml:space="preserve">) составляла соответственно 16,9 мес. в первой группе против 18,2 мес. во второй, что свидетельствует о довольно хороших сроках. Большие сроки </w:t>
      </w:r>
      <w:proofErr w:type="spellStart"/>
      <w:r w:rsidRPr="00BC7741">
        <w:rPr>
          <w:szCs w:val="28"/>
        </w:rPr>
        <w:t>сВБП</w:t>
      </w:r>
      <w:proofErr w:type="spellEnd"/>
      <w:r w:rsidRPr="00BC7741">
        <w:rPr>
          <w:szCs w:val="28"/>
        </w:rPr>
        <w:t xml:space="preserve"> по нашим данным мы объясняем несколькими причинами: несоблюдением сроков контрольных исследований по объективным причинам (нам не всегда в строго установленный срок удавалось выполнять исследования больным - КТ, МРТ в связи с загруженностью отделений диагностики), в наше исследование пациенты отбирались не по определенным характеристикам, шкалам</w:t>
      </w:r>
      <w:r w:rsidRPr="00BC7741">
        <w:rPr>
          <w:bCs/>
          <w:szCs w:val="28"/>
        </w:rPr>
        <w:t xml:space="preserve"> ECOG</w:t>
      </w:r>
      <w:r w:rsidRPr="00BC7741">
        <w:rPr>
          <w:szCs w:val="28"/>
        </w:rPr>
        <w:t xml:space="preserve"> и </w:t>
      </w:r>
      <w:r w:rsidRPr="00BC7741">
        <w:rPr>
          <w:bCs/>
          <w:szCs w:val="28"/>
        </w:rPr>
        <w:t>MSKCC, а так</w:t>
      </w:r>
      <w:r w:rsidR="00E22ACD">
        <w:rPr>
          <w:bCs/>
          <w:szCs w:val="28"/>
        </w:rPr>
        <w:t xml:space="preserve"> </w:t>
      </w:r>
      <w:proofErr w:type="gramStart"/>
      <w:r w:rsidRPr="00BC7741">
        <w:rPr>
          <w:bCs/>
          <w:szCs w:val="28"/>
        </w:rPr>
        <w:t>же</w:t>
      </w:r>
      <w:proofErr w:type="gramEnd"/>
      <w:r w:rsidRPr="00BC7741">
        <w:rPr>
          <w:bCs/>
          <w:szCs w:val="28"/>
        </w:rPr>
        <w:t xml:space="preserve"> потому что многим из больных проводилось комбинированное и комплексное лечение - хирургическое и </w:t>
      </w:r>
      <w:r w:rsidRPr="00BC7741">
        <w:rPr>
          <w:bCs/>
          <w:szCs w:val="28"/>
        </w:rPr>
        <w:lastRenderedPageBreak/>
        <w:t xml:space="preserve">лучевое метастазов ПКР, помимо лекарственной терапии </w:t>
      </w:r>
      <w:proofErr w:type="spellStart"/>
      <w:r w:rsidRPr="00BC7741">
        <w:rPr>
          <w:bCs/>
          <w:szCs w:val="28"/>
        </w:rPr>
        <w:t>таргетными</w:t>
      </w:r>
      <w:proofErr w:type="spellEnd"/>
      <w:r w:rsidRPr="00BC7741">
        <w:rPr>
          <w:bCs/>
          <w:szCs w:val="28"/>
        </w:rPr>
        <w:t xml:space="preserve"> агентами.</w:t>
      </w:r>
    </w:p>
    <w:p w:rsidR="00BC7741" w:rsidRPr="00BC7741" w:rsidRDefault="00BC7741" w:rsidP="00BC7741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BC7741">
        <w:rPr>
          <w:szCs w:val="28"/>
        </w:rPr>
        <w:t xml:space="preserve"> Оценка сроков применения </w:t>
      </w:r>
      <w:proofErr w:type="spellStart"/>
      <w:r w:rsidRPr="00BC7741">
        <w:rPr>
          <w:szCs w:val="28"/>
        </w:rPr>
        <w:t>таргетных</w:t>
      </w:r>
      <w:proofErr w:type="spellEnd"/>
      <w:r w:rsidRPr="00BC7741">
        <w:rPr>
          <w:szCs w:val="28"/>
        </w:rPr>
        <w:t xml:space="preserve"> препаратов в последовательных линиях терапии при </w:t>
      </w:r>
      <w:proofErr w:type="spellStart"/>
      <w:r w:rsidRPr="00BC7741">
        <w:rPr>
          <w:szCs w:val="28"/>
        </w:rPr>
        <w:t>мПКР</w:t>
      </w:r>
      <w:proofErr w:type="spellEnd"/>
      <w:r w:rsidRPr="00BC7741">
        <w:rPr>
          <w:szCs w:val="28"/>
        </w:rPr>
        <w:t xml:space="preserve"> и сравнение с исследованием </w:t>
      </w:r>
      <w:r w:rsidRPr="00BC7741">
        <w:rPr>
          <w:rStyle w:val="a5"/>
          <w:szCs w:val="28"/>
          <w:lang w:val="en-US"/>
        </w:rPr>
        <w:t>SWITCH</w:t>
      </w:r>
      <w:r w:rsidRPr="00BC7741">
        <w:rPr>
          <w:szCs w:val="28"/>
        </w:rPr>
        <w:t xml:space="preserve"> представлена на рис. 1 и 1а.</w:t>
      </w:r>
    </w:p>
    <w:p w:rsidR="00BC7741" w:rsidRPr="00BC7741" w:rsidRDefault="00BC7741" w:rsidP="00BC7741">
      <w:pPr>
        <w:spacing w:line="360" w:lineRule="auto"/>
        <w:ind w:firstLine="709"/>
        <w:jc w:val="both"/>
        <w:rPr>
          <w:b/>
          <w:szCs w:val="28"/>
        </w:rPr>
      </w:pPr>
      <w:r w:rsidRPr="00BC7741">
        <w:rPr>
          <w:b/>
          <w:szCs w:val="28"/>
        </w:rPr>
        <w:t xml:space="preserve">Применение последовательности терапии </w:t>
      </w:r>
      <w:proofErr w:type="spellStart"/>
      <w:r w:rsidRPr="00BC7741">
        <w:rPr>
          <w:b/>
          <w:szCs w:val="28"/>
        </w:rPr>
        <w:t>сорафениб</w:t>
      </w:r>
      <w:proofErr w:type="spellEnd"/>
      <w:r w:rsidRPr="00BC7741">
        <w:rPr>
          <w:b/>
          <w:szCs w:val="28"/>
        </w:rPr>
        <w:t xml:space="preserve"> → </w:t>
      </w:r>
      <w:proofErr w:type="spellStart"/>
      <w:r w:rsidRPr="00BC7741">
        <w:rPr>
          <w:b/>
          <w:szCs w:val="28"/>
        </w:rPr>
        <w:t>пазопаниб</w:t>
      </w:r>
      <w:proofErr w:type="spellEnd"/>
      <w:r w:rsidRPr="00BC7741">
        <w:rPr>
          <w:b/>
          <w:szCs w:val="28"/>
        </w:rPr>
        <w:t xml:space="preserve"> и </w:t>
      </w:r>
      <w:proofErr w:type="spellStart"/>
      <w:r w:rsidRPr="00BC7741">
        <w:rPr>
          <w:b/>
          <w:szCs w:val="28"/>
        </w:rPr>
        <w:t>сунитиниб</w:t>
      </w:r>
      <w:proofErr w:type="spellEnd"/>
      <w:r w:rsidRPr="00BC7741">
        <w:rPr>
          <w:b/>
          <w:szCs w:val="28"/>
        </w:rPr>
        <w:t xml:space="preserve"> → </w:t>
      </w:r>
      <w:proofErr w:type="spellStart"/>
      <w:r w:rsidRPr="00BC7741">
        <w:rPr>
          <w:b/>
          <w:szCs w:val="28"/>
        </w:rPr>
        <w:t>пазопаниб</w:t>
      </w:r>
      <w:proofErr w:type="spellEnd"/>
      <w:r w:rsidRPr="00BC7741">
        <w:rPr>
          <w:b/>
          <w:szCs w:val="28"/>
        </w:rPr>
        <w:t>.</w:t>
      </w:r>
    </w:p>
    <w:p w:rsidR="00BC7741" w:rsidRPr="00BC7741" w:rsidRDefault="00BC7741" w:rsidP="00BC7741">
      <w:pPr>
        <w:spacing w:line="360" w:lineRule="auto"/>
        <w:ind w:firstLine="709"/>
        <w:jc w:val="both"/>
        <w:rPr>
          <w:szCs w:val="28"/>
        </w:rPr>
      </w:pPr>
      <w:r w:rsidRPr="00BC7741">
        <w:rPr>
          <w:szCs w:val="28"/>
        </w:rPr>
        <w:t xml:space="preserve">Также в нашей работе мы хотим отразить последовательное применение </w:t>
      </w:r>
      <w:proofErr w:type="spellStart"/>
      <w:r w:rsidRPr="00BC7741">
        <w:rPr>
          <w:szCs w:val="28"/>
        </w:rPr>
        <w:t>таргетной</w:t>
      </w:r>
      <w:proofErr w:type="spellEnd"/>
      <w:r w:rsidRPr="00BC7741">
        <w:rPr>
          <w:szCs w:val="28"/>
        </w:rPr>
        <w:t xml:space="preserve"> терапии следующих линий: </w:t>
      </w:r>
      <w:proofErr w:type="spellStart"/>
      <w:r w:rsidRPr="00BC7741">
        <w:rPr>
          <w:szCs w:val="28"/>
        </w:rPr>
        <w:t>сорафениб</w:t>
      </w:r>
      <w:proofErr w:type="spellEnd"/>
      <w:r w:rsidRPr="00BC7741">
        <w:rPr>
          <w:szCs w:val="28"/>
        </w:rPr>
        <w:t xml:space="preserve"> → </w:t>
      </w:r>
      <w:proofErr w:type="spellStart"/>
      <w:r w:rsidRPr="00BC7741">
        <w:rPr>
          <w:szCs w:val="28"/>
        </w:rPr>
        <w:t>пазопаниб</w:t>
      </w:r>
      <w:proofErr w:type="spellEnd"/>
      <w:r w:rsidRPr="00BC7741">
        <w:rPr>
          <w:szCs w:val="28"/>
        </w:rPr>
        <w:t xml:space="preserve"> (</w:t>
      </w:r>
      <w:r w:rsidRPr="00BC7741">
        <w:rPr>
          <w:szCs w:val="28"/>
          <w:lang w:val="en-US"/>
        </w:rPr>
        <w:t>n</w:t>
      </w:r>
      <w:r w:rsidRPr="00BC7741">
        <w:rPr>
          <w:szCs w:val="28"/>
        </w:rPr>
        <w:t xml:space="preserve">=31) и </w:t>
      </w:r>
      <w:proofErr w:type="spellStart"/>
      <w:r w:rsidRPr="00BC7741">
        <w:rPr>
          <w:szCs w:val="28"/>
        </w:rPr>
        <w:t>сунитиниб</w:t>
      </w:r>
      <w:proofErr w:type="spellEnd"/>
      <w:r w:rsidRPr="00BC7741">
        <w:rPr>
          <w:szCs w:val="28"/>
        </w:rPr>
        <w:t xml:space="preserve"> → </w:t>
      </w:r>
      <w:proofErr w:type="spellStart"/>
      <w:r w:rsidRPr="00BC7741">
        <w:rPr>
          <w:szCs w:val="28"/>
        </w:rPr>
        <w:t>пазопаниб</w:t>
      </w:r>
      <w:proofErr w:type="spellEnd"/>
      <w:r w:rsidRPr="00BC7741">
        <w:rPr>
          <w:szCs w:val="28"/>
        </w:rPr>
        <w:t xml:space="preserve"> (</w:t>
      </w:r>
      <w:r w:rsidRPr="00BC7741">
        <w:rPr>
          <w:szCs w:val="28"/>
          <w:lang w:val="en-US"/>
        </w:rPr>
        <w:t>n</w:t>
      </w:r>
      <w:r w:rsidRPr="00BC7741">
        <w:rPr>
          <w:szCs w:val="28"/>
        </w:rPr>
        <w:t xml:space="preserve">=32). Характеристика групп пациентов представлена в таблице № 2. </w:t>
      </w:r>
    </w:p>
    <w:p w:rsidR="00BC7741" w:rsidRPr="00BC7741" w:rsidRDefault="00BC7741" w:rsidP="00BC7741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BC7741">
        <w:rPr>
          <w:szCs w:val="28"/>
        </w:rPr>
        <w:t xml:space="preserve">Из данной группы больных дистанционную лучевую терапию получили 7 человек: 3 (9,67 %) пациента в группе </w:t>
      </w:r>
      <w:proofErr w:type="spellStart"/>
      <w:r w:rsidRPr="00BC7741">
        <w:rPr>
          <w:szCs w:val="28"/>
        </w:rPr>
        <w:t>сорафениб</w:t>
      </w:r>
      <w:proofErr w:type="spellEnd"/>
      <w:r w:rsidRPr="00BC7741">
        <w:rPr>
          <w:szCs w:val="28"/>
        </w:rPr>
        <w:t xml:space="preserve"> → </w:t>
      </w:r>
      <w:proofErr w:type="spellStart"/>
      <w:r w:rsidRPr="00BC7741">
        <w:rPr>
          <w:szCs w:val="28"/>
        </w:rPr>
        <w:t>пазопаниб</w:t>
      </w:r>
      <w:proofErr w:type="spellEnd"/>
      <w:r w:rsidRPr="00BC7741">
        <w:rPr>
          <w:szCs w:val="28"/>
        </w:rPr>
        <w:t xml:space="preserve"> и 4 (12,50%) больных в группе </w:t>
      </w:r>
      <w:proofErr w:type="spellStart"/>
      <w:r w:rsidRPr="00BC7741">
        <w:rPr>
          <w:szCs w:val="28"/>
        </w:rPr>
        <w:t>сунитиниб</w:t>
      </w:r>
      <w:proofErr w:type="spellEnd"/>
      <w:r w:rsidRPr="00BC7741">
        <w:rPr>
          <w:szCs w:val="28"/>
        </w:rPr>
        <w:t xml:space="preserve"> → </w:t>
      </w:r>
      <w:proofErr w:type="spellStart"/>
      <w:r w:rsidRPr="00BC7741">
        <w:rPr>
          <w:szCs w:val="28"/>
        </w:rPr>
        <w:t>пазопаниб</w:t>
      </w:r>
      <w:proofErr w:type="spellEnd"/>
      <w:r w:rsidRPr="00BC7741">
        <w:rPr>
          <w:szCs w:val="28"/>
        </w:rPr>
        <w:t>. Характеристика групп пациентов, получивших ДЛТ, представлена в таблице № 3.</w:t>
      </w:r>
    </w:p>
    <w:p w:rsidR="00BC7741" w:rsidRPr="00BC7741" w:rsidRDefault="00BC7741" w:rsidP="00BC7741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BC7741">
        <w:rPr>
          <w:szCs w:val="28"/>
        </w:rPr>
        <w:t xml:space="preserve">У данной когорты больных мы также, при целесообразности операций, старались выполнять </w:t>
      </w:r>
      <w:proofErr w:type="spellStart"/>
      <w:r w:rsidRPr="00BC7741">
        <w:rPr>
          <w:szCs w:val="28"/>
        </w:rPr>
        <w:t>метастазэктомии</w:t>
      </w:r>
      <w:proofErr w:type="spellEnd"/>
      <w:r w:rsidRPr="00BC7741">
        <w:rPr>
          <w:szCs w:val="28"/>
        </w:rPr>
        <w:t xml:space="preserve"> либо симптоматические операции с целью улучшения качества жизни. Операции, выполненные </w:t>
      </w:r>
      <w:proofErr w:type="gramStart"/>
      <w:r w:rsidRPr="00BC7741">
        <w:rPr>
          <w:szCs w:val="28"/>
        </w:rPr>
        <w:t xml:space="preserve">пациентам, получавшим последовательную </w:t>
      </w:r>
      <w:proofErr w:type="spellStart"/>
      <w:r w:rsidRPr="00BC7741">
        <w:rPr>
          <w:szCs w:val="28"/>
        </w:rPr>
        <w:t>таргетную</w:t>
      </w:r>
      <w:proofErr w:type="spellEnd"/>
      <w:r w:rsidRPr="00BC7741">
        <w:rPr>
          <w:szCs w:val="28"/>
        </w:rPr>
        <w:t xml:space="preserve"> терапию </w:t>
      </w:r>
      <w:proofErr w:type="spellStart"/>
      <w:r w:rsidRPr="00BC7741">
        <w:rPr>
          <w:szCs w:val="28"/>
        </w:rPr>
        <w:t>сорафениб</w:t>
      </w:r>
      <w:proofErr w:type="spellEnd"/>
      <w:r w:rsidRPr="00BC7741">
        <w:rPr>
          <w:szCs w:val="28"/>
        </w:rPr>
        <w:t xml:space="preserve"> → </w:t>
      </w:r>
      <w:proofErr w:type="spellStart"/>
      <w:r w:rsidRPr="00BC7741">
        <w:rPr>
          <w:szCs w:val="28"/>
        </w:rPr>
        <w:t>пазопаниб</w:t>
      </w:r>
      <w:proofErr w:type="spellEnd"/>
      <w:r w:rsidRPr="00BC7741">
        <w:rPr>
          <w:szCs w:val="28"/>
        </w:rPr>
        <w:t xml:space="preserve"> и </w:t>
      </w:r>
      <w:proofErr w:type="spellStart"/>
      <w:r w:rsidRPr="00BC7741">
        <w:rPr>
          <w:szCs w:val="28"/>
        </w:rPr>
        <w:t>сунитиб</w:t>
      </w:r>
      <w:proofErr w:type="spellEnd"/>
      <w:r w:rsidRPr="00BC7741">
        <w:rPr>
          <w:szCs w:val="28"/>
        </w:rPr>
        <w:t xml:space="preserve"> → </w:t>
      </w:r>
      <w:proofErr w:type="spellStart"/>
      <w:r w:rsidRPr="00BC7741">
        <w:rPr>
          <w:szCs w:val="28"/>
        </w:rPr>
        <w:t>пазопаниб</w:t>
      </w:r>
      <w:proofErr w:type="spellEnd"/>
      <w:r w:rsidRPr="00BC7741">
        <w:rPr>
          <w:szCs w:val="28"/>
        </w:rPr>
        <w:t xml:space="preserve"> представлены</w:t>
      </w:r>
      <w:proofErr w:type="gramEnd"/>
      <w:r w:rsidRPr="00BC7741">
        <w:rPr>
          <w:szCs w:val="28"/>
        </w:rPr>
        <w:t xml:space="preserve"> в таблице №4. </w:t>
      </w:r>
    </w:p>
    <w:p w:rsidR="00BC7741" w:rsidRPr="00BC7741" w:rsidRDefault="00BC7741" w:rsidP="00BC7741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BC7741">
        <w:rPr>
          <w:szCs w:val="28"/>
        </w:rPr>
        <w:t xml:space="preserve">Оценка сроков применения </w:t>
      </w:r>
      <w:proofErr w:type="spellStart"/>
      <w:r w:rsidRPr="00BC7741">
        <w:rPr>
          <w:szCs w:val="28"/>
        </w:rPr>
        <w:t>таргетных</w:t>
      </w:r>
      <w:proofErr w:type="spellEnd"/>
      <w:r w:rsidRPr="00BC7741">
        <w:rPr>
          <w:szCs w:val="28"/>
        </w:rPr>
        <w:t xml:space="preserve"> препаратов в последовательных линиях терапии при </w:t>
      </w:r>
      <w:proofErr w:type="spellStart"/>
      <w:r w:rsidRPr="00BC7741">
        <w:rPr>
          <w:szCs w:val="28"/>
        </w:rPr>
        <w:t>мПКР</w:t>
      </w:r>
      <w:proofErr w:type="spellEnd"/>
      <w:r w:rsidRPr="00BC7741">
        <w:rPr>
          <w:szCs w:val="28"/>
        </w:rPr>
        <w:t xml:space="preserve"> представлена на рис. 2.</w:t>
      </w:r>
    </w:p>
    <w:p w:rsidR="00BC7741" w:rsidRPr="00BC7741" w:rsidRDefault="00745C7F" w:rsidP="00BC7741">
      <w:pPr>
        <w:spacing w:line="360" w:lineRule="auto"/>
        <w:ind w:firstLine="709"/>
        <w:jc w:val="both"/>
        <w:rPr>
          <w:b/>
          <w:szCs w:val="28"/>
        </w:rPr>
      </w:pPr>
      <w:r w:rsidRPr="00745C7F">
        <w:rPr>
          <w:noProof/>
          <w:szCs w:val="28"/>
          <w:lang w:val="en-US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64.75pt;margin-top:8.2pt;width:110.7pt;height:7.15pt;z-index:251661312;visibility:visible;mso-wrap-distance-left:9.48p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t431fsBAADPAwAADgAAAGRycy9lMm9Eb2MueG1srFPLbtswELwX6D8QvNey3Ca1BctBmtS9pA8g&#10;6QesScoiSnJZkraUv++SclyjvRXVgRDF3eHM7Gh9M1rDjipEja7l9WzOmXICpXb7ln9/2r5ZchYT&#10;OAkGnWr5s4r8ZvP61XrwjVpgj0aqwAjExWbwLe9T8k1VRdErC3GGXjk67DBYSLQN+0oGGAjdmmox&#10;n19XAwbpAwoVI329nw75puB3nRLpa9dFlZhpOXFLZQ1l3eW12qyh2QfwvRYnGvAPLCxoR5eeoe4h&#10;ATsE/ReU1SJgxC7NBNoKu04LVTSQmnr+h5rHHrwqWsic6M82xf8HK74cvwWmJc2OMweWRvSkxsQ+&#10;4MjqOtsz+NhQ1aOnujTS91yapUb/gOJHZA7venB7dRsCDr0CSfRKZ3XROuHEDLIbPqOke+CQsACN&#10;XbAZkNxghE5jej6PJnMR+cr6/dt3SzoSdLZYXS9WdRleBc1Luw8xfVJoWX5peaDZF3g4PsREQqj0&#10;paTQR6PlVhtTNjlv6s4EdgRKym4/CSCRl1XGsaHlq6vFVQF2mNtLgqxOFGOjbcuX8/xMwcpufHSy&#10;lCTQZnonIsYRn2xPdmTyJo278TSIk+s7lM/k10DpbHn8eYCgOAMneqQAixQKiehvycetLgoz4tR1&#10;gqfUFOGnhOdYXu5L1e//cPMLAAD//wMAUEsDBBQABgAIAAAAIQBqBIw24QAAAAoBAAAPAAAAZHJz&#10;L2Rvd25yZXYueG1sTI/BTsMwDIbvSLxDZCRuLKGjZStNpwnEaQfEBpp2yxqvqdYkVZJthafHnOBm&#10;y59/f64Wo+3ZGUPsvJNwPxHA0DVed66V8LF5vZsBi0k5rXrvUMIXRljU11eVKrW/uHc8r1PLKMTF&#10;UkkwKQ0l57ExaFWc+AEdzQ4+WJWoDS3XQV0o3PY8E6LgVnWOLhg14LPB5rg+WdJ4W5r8e4fbw0as&#10;wstnHlbHMUh5ezMun4AlHNMfDL/6tAM1Oe39yenIegnTYjYnVEKRPQAjIM+nj8D2VGRzAbyu+P8X&#10;6h8AAAD//wMAUEsBAi0AFAAGAAgAAAAhAOSZw8D7AAAA4QEAABMAAAAAAAAAAAAAAAAAAAAAAFtD&#10;b250ZW50X1R5cGVzXS54bWxQSwECLQAUAAYACAAAACEAI7Jq4dcAAACUAQAACwAAAAAAAAAAAAAA&#10;AAAsAQAAX3JlbHMvLnJlbHNQSwECLQAUAAYACAAAACEAGt431fsBAADPAwAADgAAAAAAAAAAAAAA&#10;AAAsAgAAZHJzL2Uyb0RvYy54bWxQSwECLQAUAAYACAAAACEAagSMNuEAAAAKAQAADwAAAAAAAAAA&#10;AAAAAABTBAAAZHJzL2Rvd25yZXYueG1sUEsFBgAAAAAEAAQA8wAAAGEFAAAAAA==&#10;" fillcolor="white [3212]" stroked="f">
            <v:textbox>
              <w:txbxContent>
                <w:p w:rsidR="00BC7741" w:rsidRPr="0032344A" w:rsidRDefault="00BC7741" w:rsidP="00BC7741">
                  <w:pPr>
                    <w:pStyle w:val="a4"/>
                    <w:kinsoku w:val="0"/>
                    <w:overflowPunct w:val="0"/>
                    <w:spacing w:before="0" w:beforeAutospacing="0" w:after="0" w:afterAutospacing="0"/>
                    <w:textAlignment w:val="baseline"/>
                    <w:rPr>
                      <w:sz w:val="14"/>
                      <w:szCs w:val="14"/>
                    </w:rPr>
                  </w:pPr>
                  <w:r w:rsidRPr="0032344A">
                    <w:rPr>
                      <w:b/>
                      <w:bCs/>
                      <w:i/>
                      <w:iCs/>
                      <w:color w:val="BFBFBF" w:themeColor="background1" w:themeShade="BF"/>
                      <w:kern w:val="24"/>
                      <w:sz w:val="14"/>
                      <w:szCs w:val="14"/>
                    </w:rPr>
                    <w:t>---</w:t>
                  </w:r>
                  <w:r w:rsidRPr="0032344A">
                    <w:rPr>
                      <w:b/>
                      <w:bCs/>
                      <w:i/>
                      <w:iCs/>
                      <w:color w:val="000000" w:themeColor="text1"/>
                      <w:kern w:val="24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</v:shape>
        </w:pict>
      </w:r>
    </w:p>
    <w:p w:rsidR="00BC7741" w:rsidRPr="00BC7741" w:rsidRDefault="00BC7741" w:rsidP="00BC7741">
      <w:pPr>
        <w:spacing w:line="360" w:lineRule="auto"/>
        <w:ind w:firstLine="709"/>
        <w:jc w:val="both"/>
        <w:rPr>
          <w:b/>
          <w:szCs w:val="28"/>
        </w:rPr>
      </w:pPr>
      <w:r w:rsidRPr="00BC7741">
        <w:rPr>
          <w:b/>
          <w:szCs w:val="28"/>
        </w:rPr>
        <w:t xml:space="preserve">Применение последовательности терапии </w:t>
      </w:r>
      <w:proofErr w:type="spellStart"/>
      <w:r w:rsidRPr="00BC7741">
        <w:rPr>
          <w:b/>
          <w:szCs w:val="28"/>
          <w:shd w:val="clear" w:color="auto" w:fill="FFFFFF"/>
        </w:rPr>
        <w:t>пазопаниб</w:t>
      </w:r>
      <w:proofErr w:type="spellEnd"/>
      <w:r w:rsidRPr="00BC7741">
        <w:rPr>
          <w:b/>
          <w:szCs w:val="28"/>
          <w:shd w:val="clear" w:color="auto" w:fill="FFFFFF"/>
        </w:rPr>
        <w:t xml:space="preserve"> → </w:t>
      </w:r>
      <w:proofErr w:type="spellStart"/>
      <w:r w:rsidRPr="00BC7741">
        <w:rPr>
          <w:b/>
          <w:szCs w:val="28"/>
          <w:shd w:val="clear" w:color="auto" w:fill="FFFFFF"/>
        </w:rPr>
        <w:t>сорафениб</w:t>
      </w:r>
      <w:proofErr w:type="spellEnd"/>
      <w:r w:rsidRPr="00BC7741">
        <w:rPr>
          <w:b/>
          <w:szCs w:val="28"/>
          <w:shd w:val="clear" w:color="auto" w:fill="FFFFFF"/>
        </w:rPr>
        <w:t xml:space="preserve">  и </w:t>
      </w:r>
      <w:proofErr w:type="spellStart"/>
      <w:r w:rsidRPr="00BC7741">
        <w:rPr>
          <w:b/>
          <w:szCs w:val="28"/>
          <w:shd w:val="clear" w:color="auto" w:fill="FFFFFF"/>
        </w:rPr>
        <w:t>сорафениб</w:t>
      </w:r>
      <w:proofErr w:type="spellEnd"/>
      <w:r w:rsidRPr="00BC7741">
        <w:rPr>
          <w:b/>
          <w:szCs w:val="28"/>
          <w:shd w:val="clear" w:color="auto" w:fill="FFFFFF"/>
        </w:rPr>
        <w:t xml:space="preserve"> → </w:t>
      </w:r>
      <w:proofErr w:type="spellStart"/>
      <w:r w:rsidRPr="00BC7741">
        <w:rPr>
          <w:b/>
          <w:szCs w:val="28"/>
          <w:shd w:val="clear" w:color="auto" w:fill="FFFFFF"/>
        </w:rPr>
        <w:t>пазопаниб</w:t>
      </w:r>
      <w:proofErr w:type="spellEnd"/>
      <w:r w:rsidRPr="00BC7741">
        <w:rPr>
          <w:b/>
          <w:szCs w:val="28"/>
          <w:shd w:val="clear" w:color="auto" w:fill="FFFFFF"/>
        </w:rPr>
        <w:t xml:space="preserve">, а также </w:t>
      </w:r>
      <w:proofErr w:type="spellStart"/>
      <w:r w:rsidRPr="00BC7741">
        <w:rPr>
          <w:b/>
          <w:szCs w:val="28"/>
          <w:shd w:val="clear" w:color="auto" w:fill="FFFFFF"/>
        </w:rPr>
        <w:t>сунитиниб</w:t>
      </w:r>
      <w:proofErr w:type="spellEnd"/>
      <w:r w:rsidRPr="00BC7741">
        <w:rPr>
          <w:b/>
          <w:szCs w:val="28"/>
          <w:shd w:val="clear" w:color="auto" w:fill="FFFFFF"/>
        </w:rPr>
        <w:t xml:space="preserve"> → </w:t>
      </w:r>
      <w:proofErr w:type="spellStart"/>
      <w:r w:rsidRPr="00BC7741">
        <w:rPr>
          <w:b/>
          <w:szCs w:val="28"/>
          <w:shd w:val="clear" w:color="auto" w:fill="FFFFFF"/>
        </w:rPr>
        <w:t>пазопаниб</w:t>
      </w:r>
      <w:proofErr w:type="spellEnd"/>
      <w:r w:rsidRPr="00BC7741">
        <w:rPr>
          <w:b/>
          <w:szCs w:val="28"/>
          <w:shd w:val="clear" w:color="auto" w:fill="FFFFFF"/>
        </w:rPr>
        <w:t xml:space="preserve"> и </w:t>
      </w:r>
      <w:proofErr w:type="spellStart"/>
      <w:r w:rsidRPr="00BC7741">
        <w:rPr>
          <w:b/>
          <w:szCs w:val="28"/>
          <w:shd w:val="clear" w:color="auto" w:fill="FFFFFF"/>
        </w:rPr>
        <w:t>пазопаниб</w:t>
      </w:r>
      <w:proofErr w:type="spellEnd"/>
      <w:r w:rsidRPr="00BC7741">
        <w:rPr>
          <w:b/>
          <w:szCs w:val="28"/>
          <w:shd w:val="clear" w:color="auto" w:fill="FFFFFF"/>
        </w:rPr>
        <w:t xml:space="preserve"> → </w:t>
      </w:r>
      <w:proofErr w:type="spellStart"/>
      <w:r w:rsidRPr="00BC7741">
        <w:rPr>
          <w:b/>
          <w:szCs w:val="28"/>
          <w:shd w:val="clear" w:color="auto" w:fill="FFFFFF"/>
        </w:rPr>
        <w:t>сунитиниб</w:t>
      </w:r>
      <w:proofErr w:type="spellEnd"/>
    </w:p>
    <w:p w:rsidR="00BC7741" w:rsidRPr="00BC7741" w:rsidRDefault="00BC7741" w:rsidP="00BC7741">
      <w:pPr>
        <w:spacing w:line="360" w:lineRule="auto"/>
        <w:ind w:firstLine="709"/>
        <w:jc w:val="both"/>
        <w:rPr>
          <w:szCs w:val="28"/>
          <w:shd w:val="clear" w:color="auto" w:fill="FFFFFF"/>
        </w:rPr>
      </w:pPr>
      <w:r w:rsidRPr="00BC7741">
        <w:rPr>
          <w:szCs w:val="28"/>
        </w:rPr>
        <w:t xml:space="preserve">В настоящее время в завершающую стадию входит многоцентровое </w:t>
      </w:r>
      <w:proofErr w:type="spellStart"/>
      <w:r w:rsidRPr="00BC7741">
        <w:rPr>
          <w:szCs w:val="28"/>
        </w:rPr>
        <w:t>рандомизированное</w:t>
      </w:r>
      <w:proofErr w:type="spellEnd"/>
      <w:r w:rsidRPr="00BC7741">
        <w:rPr>
          <w:szCs w:val="28"/>
        </w:rPr>
        <w:t xml:space="preserve"> исследование </w:t>
      </w:r>
      <w:r w:rsidRPr="00BC7741">
        <w:rPr>
          <w:rFonts w:eastAsia="Times New Roman"/>
          <w:color w:val="000000"/>
          <w:szCs w:val="28"/>
          <w:lang w:eastAsia="ru-RU"/>
        </w:rPr>
        <w:t xml:space="preserve">SWITCH </w:t>
      </w:r>
      <w:r w:rsidRPr="00BC7741">
        <w:rPr>
          <w:rFonts w:eastAsia="Times New Roman"/>
          <w:color w:val="000000"/>
          <w:szCs w:val="28"/>
          <w:lang w:val="en-US" w:eastAsia="ru-RU"/>
        </w:rPr>
        <w:t>II</w:t>
      </w:r>
      <w:r w:rsidRPr="00BC7741">
        <w:rPr>
          <w:rFonts w:eastAsia="Times New Roman"/>
          <w:color w:val="000000"/>
          <w:szCs w:val="28"/>
          <w:lang w:eastAsia="ru-RU"/>
        </w:rPr>
        <w:t xml:space="preserve">, </w:t>
      </w:r>
      <w:r w:rsidRPr="00BC7741">
        <w:rPr>
          <w:szCs w:val="28"/>
        </w:rPr>
        <w:t>сравнивающее эффективность</w:t>
      </w:r>
      <w:r w:rsidRPr="00BC7741">
        <w:rPr>
          <w:szCs w:val="28"/>
          <w:shd w:val="clear" w:color="auto" w:fill="FFFFFF"/>
        </w:rPr>
        <w:t xml:space="preserve"> применения </w:t>
      </w:r>
      <w:proofErr w:type="spellStart"/>
      <w:r w:rsidRPr="00BC7741">
        <w:rPr>
          <w:szCs w:val="28"/>
          <w:shd w:val="clear" w:color="auto" w:fill="FFFFFF"/>
        </w:rPr>
        <w:t>таргетной</w:t>
      </w:r>
      <w:proofErr w:type="spellEnd"/>
      <w:r w:rsidRPr="00BC7741">
        <w:rPr>
          <w:szCs w:val="28"/>
          <w:shd w:val="clear" w:color="auto" w:fill="FFFFFF"/>
        </w:rPr>
        <w:t xml:space="preserve"> терапии в последовательности </w:t>
      </w:r>
      <w:proofErr w:type="spellStart"/>
      <w:r w:rsidRPr="00BC7741">
        <w:rPr>
          <w:szCs w:val="28"/>
          <w:shd w:val="clear" w:color="auto" w:fill="FFFFFF"/>
        </w:rPr>
        <w:t>сорафениб</w:t>
      </w:r>
      <w:proofErr w:type="spellEnd"/>
      <w:r w:rsidRPr="00BC7741">
        <w:rPr>
          <w:szCs w:val="28"/>
          <w:shd w:val="clear" w:color="auto" w:fill="FFFFFF"/>
        </w:rPr>
        <w:t xml:space="preserve"> → </w:t>
      </w:r>
      <w:proofErr w:type="spellStart"/>
      <w:r w:rsidRPr="00BC7741">
        <w:rPr>
          <w:szCs w:val="28"/>
          <w:shd w:val="clear" w:color="auto" w:fill="FFFFFF"/>
        </w:rPr>
        <w:t>пазопаниб</w:t>
      </w:r>
      <w:proofErr w:type="spellEnd"/>
      <w:r w:rsidRPr="00BC7741">
        <w:rPr>
          <w:szCs w:val="28"/>
          <w:shd w:val="clear" w:color="auto" w:fill="FFFFFF"/>
        </w:rPr>
        <w:t xml:space="preserve"> и </w:t>
      </w:r>
      <w:proofErr w:type="spellStart"/>
      <w:r w:rsidRPr="00BC7741">
        <w:rPr>
          <w:szCs w:val="28"/>
          <w:shd w:val="clear" w:color="auto" w:fill="FFFFFF"/>
        </w:rPr>
        <w:t>пазопаниб</w:t>
      </w:r>
      <w:proofErr w:type="spellEnd"/>
      <w:r w:rsidRPr="00BC7741">
        <w:rPr>
          <w:szCs w:val="28"/>
          <w:shd w:val="clear" w:color="auto" w:fill="FFFFFF"/>
        </w:rPr>
        <w:t xml:space="preserve"> → </w:t>
      </w:r>
      <w:proofErr w:type="spellStart"/>
      <w:r w:rsidRPr="00BC7741">
        <w:rPr>
          <w:szCs w:val="28"/>
          <w:shd w:val="clear" w:color="auto" w:fill="FFFFFF"/>
        </w:rPr>
        <w:t>сорафениб</w:t>
      </w:r>
      <w:proofErr w:type="spellEnd"/>
      <w:r w:rsidRPr="00BC7741">
        <w:rPr>
          <w:szCs w:val="28"/>
          <w:shd w:val="clear" w:color="auto" w:fill="FFFFFF"/>
        </w:rPr>
        <w:t xml:space="preserve">. Исследование в настоящее время в </w:t>
      </w:r>
      <w:r w:rsidRPr="00BC7741">
        <w:rPr>
          <w:szCs w:val="28"/>
          <w:shd w:val="clear" w:color="auto" w:fill="FFFFFF"/>
        </w:rPr>
        <w:lastRenderedPageBreak/>
        <w:t xml:space="preserve">работе и окончательных данных нет, результаты ожидаются предварительно в июне 2016г. Мы предоставляем собственные результаты нашей работы последовательного применения </w:t>
      </w:r>
      <w:proofErr w:type="spellStart"/>
      <w:r w:rsidRPr="00BC7741">
        <w:rPr>
          <w:szCs w:val="28"/>
          <w:shd w:val="clear" w:color="auto" w:fill="FFFFFF"/>
        </w:rPr>
        <w:t>сорафениб</w:t>
      </w:r>
      <w:proofErr w:type="spellEnd"/>
      <w:r w:rsidRPr="00BC7741">
        <w:rPr>
          <w:szCs w:val="28"/>
          <w:shd w:val="clear" w:color="auto" w:fill="FFFFFF"/>
        </w:rPr>
        <w:t xml:space="preserve"> → </w:t>
      </w:r>
      <w:proofErr w:type="spellStart"/>
      <w:r w:rsidRPr="00BC7741">
        <w:rPr>
          <w:szCs w:val="28"/>
          <w:shd w:val="clear" w:color="auto" w:fill="FFFFFF"/>
        </w:rPr>
        <w:t>пазопаниб</w:t>
      </w:r>
      <w:proofErr w:type="spellEnd"/>
      <w:r w:rsidRPr="00BC7741">
        <w:rPr>
          <w:szCs w:val="28"/>
          <w:shd w:val="clear" w:color="auto" w:fill="FFFFFF"/>
        </w:rPr>
        <w:t xml:space="preserve"> (</w:t>
      </w:r>
      <w:r w:rsidRPr="00BC7741">
        <w:rPr>
          <w:szCs w:val="28"/>
          <w:shd w:val="clear" w:color="auto" w:fill="FFFFFF"/>
          <w:lang w:val="en-US"/>
        </w:rPr>
        <w:t>n</w:t>
      </w:r>
      <w:r w:rsidRPr="00BC7741">
        <w:rPr>
          <w:szCs w:val="28"/>
          <w:shd w:val="clear" w:color="auto" w:fill="FFFFFF"/>
        </w:rPr>
        <w:t xml:space="preserve">=31) и </w:t>
      </w:r>
      <w:proofErr w:type="spellStart"/>
      <w:r w:rsidRPr="00BC7741">
        <w:rPr>
          <w:szCs w:val="28"/>
          <w:shd w:val="clear" w:color="auto" w:fill="FFFFFF"/>
        </w:rPr>
        <w:t>пазопаниб</w:t>
      </w:r>
      <w:proofErr w:type="spellEnd"/>
      <w:r w:rsidRPr="00BC7741">
        <w:rPr>
          <w:szCs w:val="28"/>
          <w:shd w:val="clear" w:color="auto" w:fill="FFFFFF"/>
        </w:rPr>
        <w:t xml:space="preserve"> → </w:t>
      </w:r>
      <w:proofErr w:type="spellStart"/>
      <w:r w:rsidRPr="00BC7741">
        <w:rPr>
          <w:szCs w:val="28"/>
          <w:shd w:val="clear" w:color="auto" w:fill="FFFFFF"/>
        </w:rPr>
        <w:t>сорафениб</w:t>
      </w:r>
      <w:proofErr w:type="spellEnd"/>
      <w:r w:rsidRPr="00BC7741">
        <w:rPr>
          <w:szCs w:val="28"/>
          <w:shd w:val="clear" w:color="auto" w:fill="FFFFFF"/>
        </w:rPr>
        <w:t xml:space="preserve"> (</w:t>
      </w:r>
      <w:r w:rsidRPr="00BC7741">
        <w:rPr>
          <w:szCs w:val="28"/>
          <w:shd w:val="clear" w:color="auto" w:fill="FFFFFF"/>
          <w:lang w:val="en-US"/>
        </w:rPr>
        <w:t>n</w:t>
      </w:r>
      <w:r w:rsidRPr="00BC7741">
        <w:rPr>
          <w:szCs w:val="28"/>
          <w:shd w:val="clear" w:color="auto" w:fill="FFFFFF"/>
        </w:rPr>
        <w:t xml:space="preserve">=12), а также </w:t>
      </w:r>
      <w:proofErr w:type="spellStart"/>
      <w:r w:rsidRPr="00BC7741">
        <w:rPr>
          <w:szCs w:val="28"/>
          <w:shd w:val="clear" w:color="auto" w:fill="FFFFFF"/>
        </w:rPr>
        <w:t>сунитиниб</w:t>
      </w:r>
      <w:proofErr w:type="spellEnd"/>
      <w:r w:rsidRPr="00BC7741">
        <w:rPr>
          <w:szCs w:val="28"/>
          <w:shd w:val="clear" w:color="auto" w:fill="FFFFFF"/>
        </w:rPr>
        <w:t xml:space="preserve"> → </w:t>
      </w:r>
      <w:proofErr w:type="spellStart"/>
      <w:r w:rsidRPr="00BC7741">
        <w:rPr>
          <w:szCs w:val="28"/>
          <w:shd w:val="clear" w:color="auto" w:fill="FFFFFF"/>
        </w:rPr>
        <w:t>пазопаниб</w:t>
      </w:r>
      <w:proofErr w:type="spellEnd"/>
      <w:r w:rsidRPr="00BC7741">
        <w:rPr>
          <w:szCs w:val="28"/>
          <w:shd w:val="clear" w:color="auto" w:fill="FFFFFF"/>
        </w:rPr>
        <w:t xml:space="preserve"> (</w:t>
      </w:r>
      <w:r w:rsidRPr="00BC7741">
        <w:rPr>
          <w:szCs w:val="28"/>
          <w:shd w:val="clear" w:color="auto" w:fill="FFFFFF"/>
          <w:lang w:val="en-US"/>
        </w:rPr>
        <w:t>n</w:t>
      </w:r>
      <w:r w:rsidRPr="00BC7741">
        <w:rPr>
          <w:szCs w:val="28"/>
          <w:shd w:val="clear" w:color="auto" w:fill="FFFFFF"/>
        </w:rPr>
        <w:t xml:space="preserve">=32) и  </w:t>
      </w:r>
      <w:proofErr w:type="spellStart"/>
      <w:r w:rsidRPr="00BC7741">
        <w:rPr>
          <w:szCs w:val="28"/>
          <w:shd w:val="clear" w:color="auto" w:fill="FFFFFF"/>
        </w:rPr>
        <w:t>пазопаниб</w:t>
      </w:r>
      <w:proofErr w:type="spellEnd"/>
      <w:r w:rsidRPr="00BC7741">
        <w:rPr>
          <w:szCs w:val="28"/>
          <w:shd w:val="clear" w:color="auto" w:fill="FFFFFF"/>
        </w:rPr>
        <w:t xml:space="preserve"> → </w:t>
      </w:r>
      <w:proofErr w:type="spellStart"/>
      <w:r w:rsidRPr="00BC7741">
        <w:rPr>
          <w:szCs w:val="28"/>
          <w:shd w:val="clear" w:color="auto" w:fill="FFFFFF"/>
        </w:rPr>
        <w:t>сунитиниб</w:t>
      </w:r>
      <w:proofErr w:type="spellEnd"/>
      <w:r w:rsidRPr="00BC7741">
        <w:rPr>
          <w:szCs w:val="28"/>
          <w:shd w:val="clear" w:color="auto" w:fill="FFFFFF"/>
        </w:rPr>
        <w:t xml:space="preserve"> (</w:t>
      </w:r>
      <w:r w:rsidRPr="00BC7741">
        <w:rPr>
          <w:szCs w:val="28"/>
          <w:shd w:val="clear" w:color="auto" w:fill="FFFFFF"/>
          <w:lang w:val="en-US"/>
        </w:rPr>
        <w:t>n</w:t>
      </w:r>
      <w:r w:rsidRPr="00BC7741">
        <w:rPr>
          <w:szCs w:val="28"/>
          <w:shd w:val="clear" w:color="auto" w:fill="FFFFFF"/>
        </w:rPr>
        <w:t xml:space="preserve">=25). </w:t>
      </w:r>
      <w:r w:rsidRPr="00BC7741">
        <w:rPr>
          <w:szCs w:val="28"/>
        </w:rPr>
        <w:t xml:space="preserve">Характеристика групп пациентов представлена в таблице № 2. </w:t>
      </w:r>
    </w:p>
    <w:p w:rsidR="00BC7741" w:rsidRPr="00BC7741" w:rsidRDefault="00BC7741" w:rsidP="00BC7741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BC7741">
        <w:rPr>
          <w:szCs w:val="28"/>
        </w:rPr>
        <w:t xml:space="preserve">Из данной группы больных дистанционную лучевую терапию получили 4 человека: 2 (16,67%) пациента в группе </w:t>
      </w:r>
      <w:proofErr w:type="spellStart"/>
      <w:r w:rsidRPr="00BC7741">
        <w:rPr>
          <w:szCs w:val="28"/>
          <w:shd w:val="clear" w:color="auto" w:fill="FFFFFF"/>
        </w:rPr>
        <w:t>пазопаниб</w:t>
      </w:r>
      <w:proofErr w:type="spellEnd"/>
      <w:r w:rsidRPr="00BC7741">
        <w:rPr>
          <w:szCs w:val="28"/>
          <w:shd w:val="clear" w:color="auto" w:fill="FFFFFF"/>
        </w:rPr>
        <w:t xml:space="preserve"> → </w:t>
      </w:r>
      <w:proofErr w:type="spellStart"/>
      <w:r w:rsidRPr="00BC7741">
        <w:rPr>
          <w:szCs w:val="28"/>
          <w:shd w:val="clear" w:color="auto" w:fill="FFFFFF"/>
        </w:rPr>
        <w:t>сорафениб</w:t>
      </w:r>
      <w:proofErr w:type="spellEnd"/>
      <w:r w:rsidRPr="00BC7741">
        <w:rPr>
          <w:szCs w:val="28"/>
          <w:shd w:val="clear" w:color="auto" w:fill="FFFFFF"/>
        </w:rPr>
        <w:t xml:space="preserve"> </w:t>
      </w:r>
      <w:r w:rsidRPr="00BC7741">
        <w:rPr>
          <w:szCs w:val="28"/>
        </w:rPr>
        <w:t xml:space="preserve">и 2 (8,00 %) больных в группе </w:t>
      </w:r>
      <w:proofErr w:type="spellStart"/>
      <w:r w:rsidRPr="00BC7741">
        <w:rPr>
          <w:szCs w:val="28"/>
        </w:rPr>
        <w:t>пазопаниб</w:t>
      </w:r>
      <w:proofErr w:type="spellEnd"/>
      <w:r w:rsidRPr="00BC7741">
        <w:rPr>
          <w:szCs w:val="28"/>
        </w:rPr>
        <w:t xml:space="preserve"> → </w:t>
      </w:r>
      <w:proofErr w:type="spellStart"/>
      <w:r w:rsidRPr="00BC7741">
        <w:rPr>
          <w:szCs w:val="28"/>
        </w:rPr>
        <w:t>сунитиниб</w:t>
      </w:r>
      <w:proofErr w:type="spellEnd"/>
      <w:r w:rsidRPr="00BC7741">
        <w:rPr>
          <w:szCs w:val="28"/>
        </w:rPr>
        <w:t>. Характеристика групп пациентов, получи</w:t>
      </w:r>
      <w:r w:rsidR="003919B0">
        <w:rPr>
          <w:szCs w:val="28"/>
        </w:rPr>
        <w:t>вших ДЛТ, представлена на рисунке</w:t>
      </w:r>
      <w:r w:rsidRPr="00BC7741">
        <w:rPr>
          <w:szCs w:val="28"/>
        </w:rPr>
        <w:t xml:space="preserve"> № 3.</w:t>
      </w:r>
    </w:p>
    <w:p w:rsidR="00BC7741" w:rsidRPr="00BC7741" w:rsidRDefault="00BC7741" w:rsidP="00BC7741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BC7741">
        <w:rPr>
          <w:szCs w:val="28"/>
        </w:rPr>
        <w:t xml:space="preserve">У данной когорты больных мы также, при целесообразности операций, старались выполнять </w:t>
      </w:r>
      <w:proofErr w:type="spellStart"/>
      <w:r w:rsidRPr="00BC7741">
        <w:rPr>
          <w:szCs w:val="28"/>
        </w:rPr>
        <w:t>метастазэктомии</w:t>
      </w:r>
      <w:proofErr w:type="spellEnd"/>
      <w:r w:rsidRPr="00BC7741">
        <w:rPr>
          <w:szCs w:val="28"/>
        </w:rPr>
        <w:t xml:space="preserve"> либо симптоматические операции с целью улучшения качества жизни. Операции, выполненные пациентам, получавшие последовательную </w:t>
      </w:r>
      <w:proofErr w:type="spellStart"/>
      <w:r w:rsidRPr="00BC7741">
        <w:rPr>
          <w:szCs w:val="28"/>
        </w:rPr>
        <w:t>таргетную</w:t>
      </w:r>
      <w:proofErr w:type="spellEnd"/>
      <w:r w:rsidRPr="00BC7741">
        <w:rPr>
          <w:szCs w:val="28"/>
        </w:rPr>
        <w:t xml:space="preserve"> терапию </w:t>
      </w:r>
      <w:proofErr w:type="spellStart"/>
      <w:r w:rsidRPr="00BC7741">
        <w:rPr>
          <w:szCs w:val="28"/>
          <w:shd w:val="clear" w:color="auto" w:fill="FFFFFF"/>
        </w:rPr>
        <w:t>пазопаниб</w:t>
      </w:r>
      <w:proofErr w:type="spellEnd"/>
      <w:r w:rsidRPr="00BC7741">
        <w:rPr>
          <w:szCs w:val="28"/>
          <w:shd w:val="clear" w:color="auto" w:fill="FFFFFF"/>
        </w:rPr>
        <w:t xml:space="preserve"> → </w:t>
      </w:r>
      <w:proofErr w:type="spellStart"/>
      <w:r w:rsidRPr="00BC7741">
        <w:rPr>
          <w:szCs w:val="28"/>
          <w:shd w:val="clear" w:color="auto" w:fill="FFFFFF"/>
        </w:rPr>
        <w:t>сорафениб</w:t>
      </w:r>
      <w:proofErr w:type="spellEnd"/>
      <w:r w:rsidRPr="00BC7741">
        <w:rPr>
          <w:szCs w:val="28"/>
          <w:shd w:val="clear" w:color="auto" w:fill="FFFFFF"/>
        </w:rPr>
        <w:t xml:space="preserve"> и </w:t>
      </w:r>
      <w:proofErr w:type="spellStart"/>
      <w:r w:rsidRPr="00BC7741">
        <w:rPr>
          <w:szCs w:val="28"/>
          <w:shd w:val="clear" w:color="auto" w:fill="FFFFFF"/>
        </w:rPr>
        <w:t>пазопаниб</w:t>
      </w:r>
      <w:proofErr w:type="spellEnd"/>
      <w:r w:rsidRPr="00BC7741">
        <w:rPr>
          <w:szCs w:val="28"/>
          <w:shd w:val="clear" w:color="auto" w:fill="FFFFFF"/>
        </w:rPr>
        <w:t xml:space="preserve"> → </w:t>
      </w:r>
      <w:proofErr w:type="spellStart"/>
      <w:r w:rsidR="003919B0">
        <w:rPr>
          <w:szCs w:val="28"/>
          <w:shd w:val="clear" w:color="auto" w:fill="FFFFFF"/>
        </w:rPr>
        <w:t>сунитиниб</w:t>
      </w:r>
      <w:proofErr w:type="spellEnd"/>
      <w:r w:rsidR="003919B0">
        <w:rPr>
          <w:szCs w:val="28"/>
          <w:shd w:val="clear" w:color="auto" w:fill="FFFFFF"/>
        </w:rPr>
        <w:t xml:space="preserve"> представлены на рисунке</w:t>
      </w:r>
      <w:r w:rsidRPr="00BC7741">
        <w:rPr>
          <w:szCs w:val="28"/>
          <w:shd w:val="clear" w:color="auto" w:fill="FFFFFF"/>
        </w:rPr>
        <w:t xml:space="preserve"> № 4.</w:t>
      </w:r>
    </w:p>
    <w:p w:rsidR="00BC7741" w:rsidRPr="00BC7741" w:rsidRDefault="00BC7741" w:rsidP="00BC7741">
      <w:pPr>
        <w:spacing w:line="360" w:lineRule="auto"/>
        <w:ind w:firstLine="709"/>
        <w:jc w:val="both"/>
        <w:rPr>
          <w:szCs w:val="28"/>
        </w:rPr>
      </w:pPr>
      <w:r w:rsidRPr="00BC7741">
        <w:rPr>
          <w:szCs w:val="28"/>
        </w:rPr>
        <w:t xml:space="preserve">Оценка сроков применения </w:t>
      </w:r>
      <w:proofErr w:type="spellStart"/>
      <w:r w:rsidRPr="00BC7741">
        <w:rPr>
          <w:szCs w:val="28"/>
        </w:rPr>
        <w:t>таргетных</w:t>
      </w:r>
      <w:proofErr w:type="spellEnd"/>
      <w:r w:rsidRPr="00BC7741">
        <w:rPr>
          <w:szCs w:val="28"/>
        </w:rPr>
        <w:t xml:space="preserve"> препаратов в последовательных линиях терапии </w:t>
      </w:r>
      <w:proofErr w:type="spellStart"/>
      <w:r w:rsidRPr="00BC7741">
        <w:rPr>
          <w:szCs w:val="28"/>
          <w:shd w:val="clear" w:color="auto" w:fill="FFFFFF"/>
        </w:rPr>
        <w:t>пазопаниб</w:t>
      </w:r>
      <w:proofErr w:type="spellEnd"/>
      <w:r w:rsidRPr="00BC7741">
        <w:rPr>
          <w:szCs w:val="28"/>
          <w:shd w:val="clear" w:color="auto" w:fill="FFFFFF"/>
        </w:rPr>
        <w:t xml:space="preserve"> → </w:t>
      </w:r>
      <w:proofErr w:type="spellStart"/>
      <w:r w:rsidRPr="00BC7741">
        <w:rPr>
          <w:szCs w:val="28"/>
          <w:shd w:val="clear" w:color="auto" w:fill="FFFFFF"/>
        </w:rPr>
        <w:t>сорафениб</w:t>
      </w:r>
      <w:proofErr w:type="spellEnd"/>
      <w:r w:rsidRPr="00BC7741">
        <w:rPr>
          <w:szCs w:val="28"/>
          <w:shd w:val="clear" w:color="auto" w:fill="FFFFFF"/>
        </w:rPr>
        <w:t xml:space="preserve"> и </w:t>
      </w:r>
      <w:proofErr w:type="spellStart"/>
      <w:r w:rsidRPr="00BC7741">
        <w:rPr>
          <w:szCs w:val="28"/>
          <w:shd w:val="clear" w:color="auto" w:fill="FFFFFF"/>
        </w:rPr>
        <w:t>пазопаниб</w:t>
      </w:r>
      <w:proofErr w:type="spellEnd"/>
      <w:r w:rsidRPr="00BC7741">
        <w:rPr>
          <w:szCs w:val="28"/>
          <w:shd w:val="clear" w:color="auto" w:fill="FFFFFF"/>
        </w:rPr>
        <w:t xml:space="preserve"> → </w:t>
      </w:r>
      <w:proofErr w:type="spellStart"/>
      <w:r w:rsidRPr="00BC7741">
        <w:rPr>
          <w:szCs w:val="28"/>
          <w:shd w:val="clear" w:color="auto" w:fill="FFFFFF"/>
        </w:rPr>
        <w:t>сунитиниб</w:t>
      </w:r>
      <w:proofErr w:type="spellEnd"/>
      <w:r w:rsidRPr="00BC7741">
        <w:rPr>
          <w:szCs w:val="28"/>
        </w:rPr>
        <w:t xml:space="preserve"> при </w:t>
      </w:r>
      <w:proofErr w:type="spellStart"/>
      <w:r w:rsidRPr="00BC7741">
        <w:rPr>
          <w:szCs w:val="28"/>
        </w:rPr>
        <w:t>мПКР</w:t>
      </w:r>
      <w:proofErr w:type="spellEnd"/>
      <w:r w:rsidRPr="00BC7741">
        <w:rPr>
          <w:szCs w:val="28"/>
        </w:rPr>
        <w:t xml:space="preserve"> представлена на рис. 3</w:t>
      </w:r>
    </w:p>
    <w:p w:rsidR="00BC7741" w:rsidRPr="00BC7741" w:rsidRDefault="00BC7741" w:rsidP="00BC7741">
      <w:pPr>
        <w:spacing w:line="360" w:lineRule="auto"/>
        <w:ind w:firstLine="709"/>
        <w:jc w:val="both"/>
        <w:rPr>
          <w:szCs w:val="28"/>
          <w:shd w:val="clear" w:color="auto" w:fill="FFFFFF"/>
        </w:rPr>
      </w:pPr>
      <w:r w:rsidRPr="00BC7741">
        <w:rPr>
          <w:szCs w:val="28"/>
        </w:rPr>
        <w:t>Также мы хотим предоставить сравнение последовательности применения</w:t>
      </w:r>
      <w:r w:rsidRPr="00BC7741">
        <w:rPr>
          <w:szCs w:val="28"/>
          <w:shd w:val="clear" w:color="auto" w:fill="FFFFFF"/>
        </w:rPr>
        <w:t xml:space="preserve"> </w:t>
      </w:r>
      <w:proofErr w:type="spellStart"/>
      <w:r w:rsidRPr="00BC7741">
        <w:rPr>
          <w:szCs w:val="28"/>
          <w:shd w:val="clear" w:color="auto" w:fill="FFFFFF"/>
        </w:rPr>
        <w:t>пазопаниб</w:t>
      </w:r>
      <w:proofErr w:type="spellEnd"/>
      <w:r w:rsidRPr="00BC7741">
        <w:rPr>
          <w:szCs w:val="28"/>
          <w:shd w:val="clear" w:color="auto" w:fill="FFFFFF"/>
        </w:rPr>
        <w:t xml:space="preserve"> → </w:t>
      </w:r>
      <w:proofErr w:type="spellStart"/>
      <w:r w:rsidRPr="00BC7741">
        <w:rPr>
          <w:szCs w:val="28"/>
          <w:shd w:val="clear" w:color="auto" w:fill="FFFFFF"/>
        </w:rPr>
        <w:t>сунитиниб</w:t>
      </w:r>
      <w:proofErr w:type="spellEnd"/>
      <w:r w:rsidRPr="00BC7741">
        <w:rPr>
          <w:szCs w:val="28"/>
          <w:shd w:val="clear" w:color="auto" w:fill="FFFFFF"/>
        </w:rPr>
        <w:t xml:space="preserve"> (</w:t>
      </w:r>
      <w:r w:rsidRPr="00BC7741">
        <w:rPr>
          <w:szCs w:val="28"/>
          <w:shd w:val="clear" w:color="auto" w:fill="FFFFFF"/>
          <w:lang w:val="en-US"/>
        </w:rPr>
        <w:t>n</w:t>
      </w:r>
      <w:r w:rsidRPr="00BC7741">
        <w:rPr>
          <w:szCs w:val="28"/>
          <w:shd w:val="clear" w:color="auto" w:fill="FFFFFF"/>
        </w:rPr>
        <w:t xml:space="preserve">=25) и </w:t>
      </w:r>
      <w:proofErr w:type="spellStart"/>
      <w:r w:rsidRPr="00BC7741">
        <w:rPr>
          <w:szCs w:val="28"/>
          <w:shd w:val="clear" w:color="auto" w:fill="FFFFFF"/>
        </w:rPr>
        <w:t>сунитиниб</w:t>
      </w:r>
      <w:proofErr w:type="spellEnd"/>
      <w:r w:rsidRPr="00BC7741">
        <w:rPr>
          <w:szCs w:val="28"/>
          <w:shd w:val="clear" w:color="auto" w:fill="FFFFFF"/>
        </w:rPr>
        <w:t xml:space="preserve"> → </w:t>
      </w:r>
      <w:proofErr w:type="spellStart"/>
      <w:r w:rsidRPr="00BC7741">
        <w:rPr>
          <w:szCs w:val="28"/>
          <w:shd w:val="clear" w:color="auto" w:fill="FFFFFF"/>
        </w:rPr>
        <w:t>пазопаниб</w:t>
      </w:r>
      <w:proofErr w:type="spellEnd"/>
      <w:r w:rsidRPr="00BC7741">
        <w:rPr>
          <w:szCs w:val="28"/>
          <w:shd w:val="clear" w:color="auto" w:fill="FFFFFF"/>
        </w:rPr>
        <w:t xml:space="preserve"> (</w:t>
      </w:r>
      <w:r w:rsidRPr="00BC7741">
        <w:rPr>
          <w:szCs w:val="28"/>
          <w:shd w:val="clear" w:color="auto" w:fill="FFFFFF"/>
          <w:lang w:val="en-US"/>
        </w:rPr>
        <w:t>n</w:t>
      </w:r>
      <w:r w:rsidRPr="00BC7741">
        <w:rPr>
          <w:szCs w:val="28"/>
          <w:shd w:val="clear" w:color="auto" w:fill="FFFFFF"/>
        </w:rPr>
        <w:t>=32). Оценка сроков применения данной терапии предоставлена на рисунке № 4.</w:t>
      </w:r>
    </w:p>
    <w:p w:rsidR="00BC7741" w:rsidRPr="00BC7741" w:rsidRDefault="00BC7741" w:rsidP="00BC7741">
      <w:pPr>
        <w:spacing w:line="360" w:lineRule="auto"/>
        <w:jc w:val="both"/>
        <w:rPr>
          <w:szCs w:val="28"/>
        </w:rPr>
      </w:pPr>
      <w:r>
        <w:rPr>
          <w:szCs w:val="28"/>
        </w:rPr>
        <w:t xml:space="preserve">          </w:t>
      </w:r>
      <w:r w:rsidRPr="00BC7741">
        <w:rPr>
          <w:szCs w:val="28"/>
        </w:rPr>
        <w:t xml:space="preserve">Сравнение последовательности применения </w:t>
      </w:r>
      <w:proofErr w:type="spellStart"/>
      <w:r w:rsidRPr="00BC7741">
        <w:rPr>
          <w:szCs w:val="28"/>
        </w:rPr>
        <w:t>пазопаниб</w:t>
      </w:r>
      <w:proofErr w:type="spellEnd"/>
      <w:r w:rsidRPr="00BC7741">
        <w:rPr>
          <w:szCs w:val="28"/>
        </w:rPr>
        <w:t xml:space="preserve"> </w:t>
      </w:r>
      <w:r w:rsidRPr="00BC7741">
        <w:rPr>
          <w:szCs w:val="28"/>
          <w:shd w:val="clear" w:color="auto" w:fill="FFFFFF"/>
        </w:rPr>
        <w:t xml:space="preserve">→ </w:t>
      </w:r>
      <w:proofErr w:type="spellStart"/>
      <w:r w:rsidRPr="00BC7741">
        <w:rPr>
          <w:szCs w:val="28"/>
          <w:shd w:val="clear" w:color="auto" w:fill="FFFFFF"/>
        </w:rPr>
        <w:t>сорафениб</w:t>
      </w:r>
      <w:proofErr w:type="spellEnd"/>
      <w:r w:rsidRPr="00BC7741">
        <w:rPr>
          <w:szCs w:val="28"/>
          <w:shd w:val="clear" w:color="auto" w:fill="FFFFFF"/>
        </w:rPr>
        <w:t xml:space="preserve"> и </w:t>
      </w:r>
      <w:proofErr w:type="spellStart"/>
      <w:r w:rsidRPr="00BC7741">
        <w:rPr>
          <w:szCs w:val="28"/>
          <w:shd w:val="clear" w:color="auto" w:fill="FFFFFF"/>
        </w:rPr>
        <w:t>сорафениб</w:t>
      </w:r>
      <w:proofErr w:type="spellEnd"/>
      <w:r w:rsidRPr="00BC7741">
        <w:rPr>
          <w:szCs w:val="28"/>
          <w:shd w:val="clear" w:color="auto" w:fill="FFFFFF"/>
        </w:rPr>
        <w:t xml:space="preserve"> → </w:t>
      </w:r>
      <w:proofErr w:type="spellStart"/>
      <w:r w:rsidRPr="00BC7741">
        <w:rPr>
          <w:szCs w:val="28"/>
          <w:shd w:val="clear" w:color="auto" w:fill="FFFFFF"/>
        </w:rPr>
        <w:t>пазопаниб</w:t>
      </w:r>
      <w:proofErr w:type="spellEnd"/>
      <w:r w:rsidRPr="00BC7741">
        <w:rPr>
          <w:szCs w:val="28"/>
          <w:shd w:val="clear" w:color="auto" w:fill="FFFFFF"/>
        </w:rPr>
        <w:t xml:space="preserve"> представлено на рис. №5.</w:t>
      </w:r>
    </w:p>
    <w:p w:rsidR="00BC7741" w:rsidRPr="00BC7741" w:rsidRDefault="00BC7741" w:rsidP="00BC7741">
      <w:pPr>
        <w:spacing w:line="360" w:lineRule="auto"/>
        <w:jc w:val="both"/>
        <w:rPr>
          <w:szCs w:val="28"/>
        </w:rPr>
      </w:pPr>
    </w:p>
    <w:p w:rsidR="00BC7741" w:rsidRPr="00BC7741" w:rsidRDefault="00BC7741" w:rsidP="00BC7741">
      <w:pPr>
        <w:spacing w:line="360" w:lineRule="auto"/>
        <w:ind w:firstLine="709"/>
        <w:jc w:val="center"/>
        <w:rPr>
          <w:b/>
          <w:szCs w:val="28"/>
        </w:rPr>
      </w:pPr>
      <w:r w:rsidRPr="00BC7741">
        <w:rPr>
          <w:b/>
          <w:szCs w:val="28"/>
        </w:rPr>
        <w:t>Заключение</w:t>
      </w:r>
    </w:p>
    <w:p w:rsidR="00BC7741" w:rsidRPr="00BC7741" w:rsidRDefault="00BC7741" w:rsidP="00BC7741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BC7741">
        <w:rPr>
          <w:color w:val="000000"/>
          <w:szCs w:val="28"/>
          <w:shd w:val="clear" w:color="auto" w:fill="FFFFFF"/>
        </w:rPr>
        <w:t xml:space="preserve">В настоящее время в литературных источниках доступно несколько работ, посвященных исследованию применения последовательной </w:t>
      </w:r>
      <w:proofErr w:type="spellStart"/>
      <w:r w:rsidRPr="00BC7741">
        <w:rPr>
          <w:color w:val="000000"/>
          <w:szCs w:val="28"/>
          <w:shd w:val="clear" w:color="auto" w:fill="FFFFFF"/>
        </w:rPr>
        <w:t>таргетной</w:t>
      </w:r>
      <w:proofErr w:type="spellEnd"/>
      <w:r w:rsidRPr="00BC7741">
        <w:rPr>
          <w:color w:val="000000"/>
          <w:szCs w:val="28"/>
          <w:shd w:val="clear" w:color="auto" w:fill="FFFFFF"/>
        </w:rPr>
        <w:t xml:space="preserve"> терапии: оценки действия </w:t>
      </w:r>
      <w:proofErr w:type="spellStart"/>
      <w:r w:rsidRPr="00BC7741">
        <w:rPr>
          <w:szCs w:val="28"/>
        </w:rPr>
        <w:t>сорафениба</w:t>
      </w:r>
      <w:proofErr w:type="spellEnd"/>
      <w:r w:rsidRPr="00BC7741">
        <w:rPr>
          <w:szCs w:val="28"/>
        </w:rPr>
        <w:t xml:space="preserve"> с последующим назначением </w:t>
      </w:r>
      <w:proofErr w:type="spellStart"/>
      <w:r w:rsidRPr="00BC7741">
        <w:rPr>
          <w:szCs w:val="28"/>
        </w:rPr>
        <w:t>сунитиниба</w:t>
      </w:r>
      <w:proofErr w:type="spellEnd"/>
      <w:r w:rsidRPr="00BC7741">
        <w:rPr>
          <w:szCs w:val="28"/>
        </w:rPr>
        <w:t xml:space="preserve"> и </w:t>
      </w:r>
      <w:proofErr w:type="spellStart"/>
      <w:r w:rsidRPr="00BC7741">
        <w:rPr>
          <w:szCs w:val="28"/>
        </w:rPr>
        <w:t>сунитиниба</w:t>
      </w:r>
      <w:proofErr w:type="spellEnd"/>
      <w:r w:rsidRPr="00BC7741">
        <w:rPr>
          <w:szCs w:val="28"/>
        </w:rPr>
        <w:t xml:space="preserve"> с последующим назначением </w:t>
      </w:r>
      <w:proofErr w:type="spellStart"/>
      <w:r w:rsidRPr="00BC7741">
        <w:rPr>
          <w:szCs w:val="28"/>
        </w:rPr>
        <w:t>сорафениба</w:t>
      </w:r>
      <w:proofErr w:type="spellEnd"/>
      <w:r w:rsidRPr="00BC7741">
        <w:rPr>
          <w:szCs w:val="28"/>
        </w:rPr>
        <w:t xml:space="preserve">, а также </w:t>
      </w:r>
      <w:r w:rsidRPr="00BC7741">
        <w:rPr>
          <w:szCs w:val="28"/>
        </w:rPr>
        <w:lastRenderedPageBreak/>
        <w:t xml:space="preserve">действие </w:t>
      </w:r>
      <w:proofErr w:type="spellStart"/>
      <w:r w:rsidRPr="00BC7741">
        <w:rPr>
          <w:szCs w:val="28"/>
        </w:rPr>
        <w:t>сорафениба</w:t>
      </w:r>
      <w:proofErr w:type="spellEnd"/>
      <w:r w:rsidRPr="00BC7741">
        <w:rPr>
          <w:szCs w:val="28"/>
        </w:rPr>
        <w:t xml:space="preserve"> и </w:t>
      </w:r>
      <w:proofErr w:type="spellStart"/>
      <w:r w:rsidRPr="00BC7741">
        <w:rPr>
          <w:szCs w:val="28"/>
        </w:rPr>
        <w:t>сунитиниба</w:t>
      </w:r>
      <w:proofErr w:type="spellEnd"/>
      <w:r w:rsidRPr="00BC7741">
        <w:rPr>
          <w:szCs w:val="28"/>
        </w:rPr>
        <w:t xml:space="preserve"> в первой линии </w:t>
      </w:r>
      <w:proofErr w:type="spellStart"/>
      <w:r w:rsidRPr="00BC7741">
        <w:rPr>
          <w:szCs w:val="28"/>
        </w:rPr>
        <w:t>таргетной</w:t>
      </w:r>
      <w:proofErr w:type="spellEnd"/>
      <w:r w:rsidRPr="00BC7741">
        <w:rPr>
          <w:szCs w:val="28"/>
        </w:rPr>
        <w:t xml:space="preserve"> терапии с последующим назначением </w:t>
      </w:r>
      <w:proofErr w:type="spellStart"/>
      <w:r w:rsidRPr="00BC7741">
        <w:rPr>
          <w:szCs w:val="28"/>
        </w:rPr>
        <w:t>пазопаниба</w:t>
      </w:r>
      <w:proofErr w:type="spellEnd"/>
      <w:r w:rsidRPr="00BC7741">
        <w:rPr>
          <w:szCs w:val="28"/>
        </w:rPr>
        <w:t xml:space="preserve"> во второй линии. </w:t>
      </w:r>
    </w:p>
    <w:p w:rsidR="00BC7741" w:rsidRDefault="00BC7741" w:rsidP="00BC7741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BC7741">
        <w:rPr>
          <w:szCs w:val="28"/>
        </w:rPr>
        <w:t xml:space="preserve">Нами проведён анализ данных основных </w:t>
      </w:r>
      <w:r w:rsidRPr="00BC7741">
        <w:rPr>
          <w:color w:val="000000"/>
          <w:szCs w:val="28"/>
          <w:shd w:val="clear" w:color="auto" w:fill="FFFFFF"/>
        </w:rPr>
        <w:t xml:space="preserve">ретроспективных работ и </w:t>
      </w:r>
      <w:proofErr w:type="spellStart"/>
      <w:r w:rsidRPr="00BC7741">
        <w:rPr>
          <w:szCs w:val="28"/>
        </w:rPr>
        <w:t>рандомизированных</w:t>
      </w:r>
      <w:proofErr w:type="spellEnd"/>
      <w:r w:rsidRPr="00BC7741">
        <w:rPr>
          <w:szCs w:val="28"/>
        </w:rPr>
        <w:t xml:space="preserve"> клинических исследований. Среди известных работ и протокольных исследований по последовательной </w:t>
      </w:r>
      <w:proofErr w:type="spellStart"/>
      <w:r w:rsidRPr="00BC7741">
        <w:rPr>
          <w:szCs w:val="28"/>
        </w:rPr>
        <w:t>таргетной</w:t>
      </w:r>
      <w:proofErr w:type="spellEnd"/>
      <w:r w:rsidRPr="00BC7741">
        <w:rPr>
          <w:szCs w:val="28"/>
        </w:rPr>
        <w:t xml:space="preserve"> терапии наиболее интересное – это </w:t>
      </w:r>
      <w:r w:rsidRPr="00BC7741">
        <w:rPr>
          <w:rStyle w:val="a5"/>
          <w:szCs w:val="28"/>
          <w:lang w:val="en-US"/>
        </w:rPr>
        <w:t>SWITCH</w:t>
      </w:r>
      <w:r w:rsidRPr="00BC7741">
        <w:rPr>
          <w:rStyle w:val="a5"/>
          <w:szCs w:val="28"/>
        </w:rPr>
        <w:t xml:space="preserve"> и </w:t>
      </w:r>
      <w:r w:rsidRPr="00BC7741">
        <w:rPr>
          <w:rStyle w:val="a5"/>
          <w:szCs w:val="28"/>
          <w:lang w:val="en-US"/>
        </w:rPr>
        <w:t>SWITCH</w:t>
      </w:r>
      <w:r w:rsidRPr="00BC7741">
        <w:rPr>
          <w:rStyle w:val="a5"/>
          <w:szCs w:val="28"/>
        </w:rPr>
        <w:t xml:space="preserve"> </w:t>
      </w:r>
      <w:r w:rsidRPr="00BC7741">
        <w:rPr>
          <w:rStyle w:val="a5"/>
          <w:szCs w:val="28"/>
          <w:lang w:val="en-US"/>
        </w:rPr>
        <w:t>II</w:t>
      </w:r>
      <w:r w:rsidRPr="00BC7741">
        <w:rPr>
          <w:rStyle w:val="a5"/>
          <w:szCs w:val="28"/>
        </w:rPr>
        <w:t xml:space="preserve"> </w:t>
      </w:r>
      <w:r w:rsidRPr="00BC7741">
        <w:rPr>
          <w:szCs w:val="28"/>
        </w:rPr>
        <w:t>[7]. Результаты данных исследований представлены в таблице №5.</w:t>
      </w:r>
    </w:p>
    <w:p w:rsidR="00E22ACD" w:rsidRPr="00BC7741" w:rsidRDefault="00E22ACD" w:rsidP="00BC7741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shd w:val="clear" w:color="auto" w:fill="FFFFFF"/>
        </w:rPr>
      </w:pPr>
    </w:p>
    <w:p w:rsidR="00BC7741" w:rsidRPr="00BC7741" w:rsidRDefault="00BC7741" w:rsidP="00BC7741">
      <w:pPr>
        <w:spacing w:line="360" w:lineRule="auto"/>
        <w:ind w:firstLine="709"/>
        <w:jc w:val="both"/>
        <w:rPr>
          <w:szCs w:val="28"/>
        </w:rPr>
      </w:pPr>
      <w:r w:rsidRPr="00BC7741">
        <w:rPr>
          <w:szCs w:val="28"/>
        </w:rPr>
        <w:t>Таким образом, наши результаты ретроспективного исследования практически не отличаются от итоговых показателей многих других ретроспективных работ, в том числе и</w:t>
      </w:r>
      <w:r w:rsidRPr="00BC7741">
        <w:rPr>
          <w:rFonts w:eastAsia="Times New Roman"/>
          <w:color w:val="000000"/>
          <w:szCs w:val="28"/>
          <w:lang w:eastAsia="ru-RU"/>
        </w:rPr>
        <w:t xml:space="preserve"> </w:t>
      </w:r>
      <w:r w:rsidRPr="00BC7741">
        <w:rPr>
          <w:szCs w:val="28"/>
        </w:rPr>
        <w:t xml:space="preserve">многоцентрового </w:t>
      </w:r>
      <w:proofErr w:type="spellStart"/>
      <w:r w:rsidRPr="00BC7741">
        <w:rPr>
          <w:szCs w:val="28"/>
        </w:rPr>
        <w:t>рандомизированного</w:t>
      </w:r>
      <w:proofErr w:type="spellEnd"/>
      <w:r w:rsidRPr="00BC7741">
        <w:rPr>
          <w:szCs w:val="28"/>
        </w:rPr>
        <w:t xml:space="preserve"> исследования 3 фазы </w:t>
      </w:r>
      <w:r w:rsidRPr="00BC7741">
        <w:rPr>
          <w:rFonts w:eastAsia="Times New Roman"/>
          <w:color w:val="000000"/>
          <w:szCs w:val="28"/>
          <w:lang w:eastAsia="ru-RU"/>
        </w:rPr>
        <w:t xml:space="preserve">SWITCH. Принципиальной разницы в последовательности применения </w:t>
      </w:r>
      <w:proofErr w:type="spellStart"/>
      <w:r w:rsidRPr="00BC7741">
        <w:rPr>
          <w:rFonts w:eastAsia="Times New Roman"/>
          <w:color w:val="000000"/>
          <w:szCs w:val="28"/>
          <w:lang w:eastAsia="ru-RU"/>
        </w:rPr>
        <w:t>таргетной</w:t>
      </w:r>
      <w:proofErr w:type="spellEnd"/>
      <w:r w:rsidRPr="00BC7741">
        <w:rPr>
          <w:rFonts w:eastAsia="Times New Roman"/>
          <w:color w:val="000000"/>
          <w:szCs w:val="28"/>
          <w:lang w:eastAsia="ru-RU"/>
        </w:rPr>
        <w:t xml:space="preserve"> терапии по схеме </w:t>
      </w:r>
      <w:proofErr w:type="spellStart"/>
      <w:r w:rsidRPr="00BC7741">
        <w:rPr>
          <w:szCs w:val="28"/>
        </w:rPr>
        <w:t>сорафениб</w:t>
      </w:r>
      <w:proofErr w:type="spellEnd"/>
      <w:r w:rsidRPr="00BC7741">
        <w:rPr>
          <w:szCs w:val="28"/>
        </w:rPr>
        <w:t xml:space="preserve"> → </w:t>
      </w:r>
      <w:proofErr w:type="spellStart"/>
      <w:r w:rsidRPr="00BC7741">
        <w:rPr>
          <w:szCs w:val="28"/>
        </w:rPr>
        <w:t>сунитиниб</w:t>
      </w:r>
      <w:proofErr w:type="spellEnd"/>
      <w:r w:rsidRPr="00BC7741">
        <w:rPr>
          <w:szCs w:val="28"/>
        </w:rPr>
        <w:t xml:space="preserve"> либо </w:t>
      </w:r>
      <w:proofErr w:type="spellStart"/>
      <w:r w:rsidRPr="00BC7741">
        <w:rPr>
          <w:szCs w:val="28"/>
        </w:rPr>
        <w:t>сунитиниб</w:t>
      </w:r>
      <w:proofErr w:type="spellEnd"/>
      <w:r w:rsidRPr="00BC7741">
        <w:rPr>
          <w:szCs w:val="28"/>
        </w:rPr>
        <w:t xml:space="preserve">  → </w:t>
      </w:r>
      <w:proofErr w:type="spellStart"/>
      <w:r w:rsidRPr="00BC7741">
        <w:rPr>
          <w:szCs w:val="28"/>
        </w:rPr>
        <w:t>сорафениб</w:t>
      </w:r>
      <w:proofErr w:type="spellEnd"/>
      <w:r w:rsidRPr="00BC7741">
        <w:rPr>
          <w:szCs w:val="28"/>
        </w:rPr>
        <w:t xml:space="preserve"> мы не видим, в связи с тем, что суммарная выживаемость без прогрессирования (</w:t>
      </w:r>
      <w:proofErr w:type="spellStart"/>
      <w:r w:rsidRPr="00BC7741">
        <w:rPr>
          <w:szCs w:val="28"/>
        </w:rPr>
        <w:t>сВБП</w:t>
      </w:r>
      <w:proofErr w:type="spellEnd"/>
      <w:r w:rsidRPr="00BC7741">
        <w:rPr>
          <w:szCs w:val="28"/>
        </w:rPr>
        <w:t xml:space="preserve">) при двух линиях последовательной терапии ингибиторами </w:t>
      </w:r>
      <w:proofErr w:type="spellStart"/>
      <w:r w:rsidRPr="00BC7741">
        <w:rPr>
          <w:szCs w:val="28"/>
        </w:rPr>
        <w:t>тирозинкиназ</w:t>
      </w:r>
      <w:proofErr w:type="spellEnd"/>
      <w:r w:rsidRPr="00BC7741">
        <w:rPr>
          <w:szCs w:val="28"/>
        </w:rPr>
        <w:t xml:space="preserve"> (16,9 мес. и 18,2 мес. соответственно) практически не отличается.</w:t>
      </w:r>
    </w:p>
    <w:p w:rsidR="00BC7741" w:rsidRPr="00BC7741" w:rsidRDefault="00BC7741" w:rsidP="00BC7741">
      <w:pPr>
        <w:spacing w:line="360" w:lineRule="auto"/>
        <w:ind w:firstLine="709"/>
        <w:jc w:val="both"/>
        <w:rPr>
          <w:rFonts w:eastAsia="Times New Roman"/>
          <w:color w:val="000000"/>
          <w:szCs w:val="28"/>
          <w:lang w:eastAsia="ru-RU"/>
        </w:rPr>
      </w:pPr>
      <w:proofErr w:type="gramStart"/>
      <w:r w:rsidRPr="00BC7741">
        <w:rPr>
          <w:szCs w:val="28"/>
        </w:rPr>
        <w:t xml:space="preserve">По нашим данным сроки </w:t>
      </w:r>
      <w:proofErr w:type="spellStart"/>
      <w:r w:rsidRPr="00BC7741">
        <w:rPr>
          <w:szCs w:val="28"/>
        </w:rPr>
        <w:t>сВБП</w:t>
      </w:r>
      <w:proofErr w:type="spellEnd"/>
      <w:r w:rsidRPr="00BC7741">
        <w:rPr>
          <w:szCs w:val="28"/>
        </w:rPr>
        <w:t xml:space="preserve"> в применении в 1-ой линии терапии ингибиторов </w:t>
      </w:r>
      <w:proofErr w:type="spellStart"/>
      <w:r w:rsidRPr="00BC7741">
        <w:rPr>
          <w:szCs w:val="28"/>
        </w:rPr>
        <w:t>тиразинкиназ</w:t>
      </w:r>
      <w:proofErr w:type="spellEnd"/>
      <w:r w:rsidRPr="00BC7741">
        <w:rPr>
          <w:szCs w:val="28"/>
        </w:rPr>
        <w:t xml:space="preserve"> (</w:t>
      </w:r>
      <w:proofErr w:type="spellStart"/>
      <w:r w:rsidRPr="00BC7741">
        <w:rPr>
          <w:szCs w:val="28"/>
        </w:rPr>
        <w:t>сорафениба</w:t>
      </w:r>
      <w:proofErr w:type="spellEnd"/>
      <w:r w:rsidRPr="00BC7741">
        <w:rPr>
          <w:szCs w:val="28"/>
        </w:rPr>
        <w:t xml:space="preserve"> и </w:t>
      </w:r>
      <w:proofErr w:type="spellStart"/>
      <w:r w:rsidRPr="00BC7741">
        <w:rPr>
          <w:szCs w:val="28"/>
        </w:rPr>
        <w:t>сунитиниба</w:t>
      </w:r>
      <w:proofErr w:type="spellEnd"/>
      <w:r w:rsidRPr="00BC7741">
        <w:rPr>
          <w:szCs w:val="28"/>
        </w:rPr>
        <w:t xml:space="preserve">) с последующим назначением </w:t>
      </w:r>
      <w:proofErr w:type="spellStart"/>
      <w:r w:rsidRPr="00BC7741">
        <w:rPr>
          <w:szCs w:val="28"/>
        </w:rPr>
        <w:t>пазопаниба</w:t>
      </w:r>
      <w:proofErr w:type="spellEnd"/>
      <w:r w:rsidRPr="00BC7741">
        <w:rPr>
          <w:szCs w:val="28"/>
        </w:rPr>
        <w:t xml:space="preserve"> во 2-ой линии (12,5 мес. и 14,4 мес. соответственно) и </w:t>
      </w:r>
      <w:proofErr w:type="spellStart"/>
      <w:r w:rsidRPr="00BC7741">
        <w:rPr>
          <w:szCs w:val="28"/>
        </w:rPr>
        <w:t>пазопаниба</w:t>
      </w:r>
      <w:proofErr w:type="spellEnd"/>
      <w:r w:rsidRPr="00BC7741">
        <w:rPr>
          <w:szCs w:val="28"/>
        </w:rPr>
        <w:t xml:space="preserve"> в 1-ой линии с последующим назначением ингибиторов </w:t>
      </w:r>
      <w:proofErr w:type="spellStart"/>
      <w:r w:rsidRPr="00BC7741">
        <w:rPr>
          <w:szCs w:val="28"/>
        </w:rPr>
        <w:t>тиразинкиназ</w:t>
      </w:r>
      <w:proofErr w:type="spellEnd"/>
      <w:r w:rsidRPr="00BC7741">
        <w:rPr>
          <w:szCs w:val="28"/>
        </w:rPr>
        <w:t xml:space="preserve"> (</w:t>
      </w:r>
      <w:proofErr w:type="spellStart"/>
      <w:r w:rsidRPr="00BC7741">
        <w:rPr>
          <w:szCs w:val="28"/>
        </w:rPr>
        <w:t>сорафениба</w:t>
      </w:r>
      <w:proofErr w:type="spellEnd"/>
      <w:r w:rsidRPr="00BC7741">
        <w:rPr>
          <w:szCs w:val="28"/>
        </w:rPr>
        <w:t xml:space="preserve"> и </w:t>
      </w:r>
      <w:proofErr w:type="spellStart"/>
      <w:r w:rsidRPr="00BC7741">
        <w:rPr>
          <w:szCs w:val="28"/>
        </w:rPr>
        <w:t>сунитиниба</w:t>
      </w:r>
      <w:proofErr w:type="spellEnd"/>
      <w:r w:rsidRPr="00BC7741">
        <w:rPr>
          <w:szCs w:val="28"/>
        </w:rPr>
        <w:t xml:space="preserve">) во 2-ой линии (12,5 мес. и 11,56 мес. соответственно) по сравнению с предварительными результатами ожидаемого многоцентрового </w:t>
      </w:r>
      <w:proofErr w:type="spellStart"/>
      <w:r w:rsidRPr="00BC7741">
        <w:rPr>
          <w:szCs w:val="28"/>
        </w:rPr>
        <w:t>рандомизированного</w:t>
      </w:r>
      <w:proofErr w:type="spellEnd"/>
      <w:r w:rsidRPr="00BC7741">
        <w:rPr>
          <w:szCs w:val="28"/>
        </w:rPr>
        <w:t xml:space="preserve"> исследования</w:t>
      </w:r>
      <w:proofErr w:type="gramEnd"/>
      <w:r w:rsidRPr="00BC7741">
        <w:rPr>
          <w:szCs w:val="28"/>
        </w:rPr>
        <w:t xml:space="preserve"> </w:t>
      </w:r>
      <w:r w:rsidRPr="00BC7741">
        <w:rPr>
          <w:rFonts w:eastAsia="Times New Roman"/>
          <w:color w:val="000000"/>
          <w:szCs w:val="28"/>
          <w:lang w:eastAsia="ru-RU"/>
        </w:rPr>
        <w:t xml:space="preserve">SWITCH </w:t>
      </w:r>
      <w:r w:rsidRPr="00BC7741">
        <w:rPr>
          <w:rFonts w:eastAsia="Times New Roman"/>
          <w:color w:val="000000"/>
          <w:szCs w:val="28"/>
          <w:lang w:val="en-US" w:eastAsia="ru-RU"/>
        </w:rPr>
        <w:t>II</w:t>
      </w:r>
      <w:r w:rsidRPr="00BC7741">
        <w:rPr>
          <w:rFonts w:eastAsia="Times New Roman"/>
          <w:color w:val="000000"/>
          <w:szCs w:val="28"/>
          <w:lang w:eastAsia="ru-RU"/>
        </w:rPr>
        <w:t xml:space="preserve"> также статистически не отличаются.</w:t>
      </w:r>
    </w:p>
    <w:p w:rsidR="00BC7741" w:rsidRPr="00BC7741" w:rsidRDefault="00BC7741" w:rsidP="00BC7741">
      <w:pPr>
        <w:spacing w:line="360" w:lineRule="auto"/>
        <w:ind w:firstLine="709"/>
        <w:jc w:val="both"/>
        <w:rPr>
          <w:szCs w:val="28"/>
        </w:rPr>
      </w:pPr>
      <w:r w:rsidRPr="00BC7741">
        <w:rPr>
          <w:rFonts w:eastAsia="Times New Roman"/>
          <w:color w:val="000000"/>
          <w:szCs w:val="28"/>
          <w:lang w:eastAsia="ru-RU"/>
        </w:rPr>
        <w:t xml:space="preserve">При последовательной терапии </w:t>
      </w:r>
      <w:proofErr w:type="spellStart"/>
      <w:r w:rsidRPr="00BC7741">
        <w:rPr>
          <w:rFonts w:eastAsia="Times New Roman"/>
          <w:color w:val="000000"/>
          <w:szCs w:val="28"/>
          <w:lang w:eastAsia="ru-RU"/>
        </w:rPr>
        <w:t>таргетными</w:t>
      </w:r>
      <w:proofErr w:type="spellEnd"/>
      <w:r w:rsidRPr="00BC7741">
        <w:rPr>
          <w:rFonts w:eastAsia="Times New Roman"/>
          <w:color w:val="000000"/>
          <w:szCs w:val="28"/>
          <w:lang w:eastAsia="ru-RU"/>
        </w:rPr>
        <w:t xml:space="preserve"> препаратами мы придерживаемся тактики агрессивного воздействия на метастазы, что и показали в нашей работе. И только комбинированное и комплексное лечение позволяет максимально улучшить выживаемость без прогрессирования, общую выживаемость, а также качество жизни этих пациентов. </w:t>
      </w:r>
      <w:r w:rsidRPr="00BC7741">
        <w:rPr>
          <w:rFonts w:eastAsia="Times New Roman"/>
          <w:color w:val="000000"/>
          <w:szCs w:val="28"/>
          <w:lang w:eastAsia="ru-RU"/>
        </w:rPr>
        <w:lastRenderedPageBreak/>
        <w:t xml:space="preserve">Последовательная терапия ингибиторами </w:t>
      </w:r>
      <w:proofErr w:type="spellStart"/>
      <w:r w:rsidRPr="00BC7741">
        <w:rPr>
          <w:rFonts w:eastAsia="Times New Roman"/>
          <w:color w:val="000000"/>
          <w:szCs w:val="28"/>
          <w:lang w:eastAsia="ru-RU"/>
        </w:rPr>
        <w:t>тирозинкиназ</w:t>
      </w:r>
      <w:proofErr w:type="spellEnd"/>
      <w:r w:rsidRPr="00BC7741">
        <w:rPr>
          <w:rFonts w:eastAsia="Times New Roman"/>
          <w:color w:val="000000"/>
          <w:szCs w:val="28"/>
          <w:lang w:eastAsia="ru-RU"/>
        </w:rPr>
        <w:t xml:space="preserve"> не исключает в дальнейшем переход больного на третью и последующие линии терапии с включением </w:t>
      </w:r>
      <w:proofErr w:type="spellStart"/>
      <w:r w:rsidRPr="00BC7741">
        <w:rPr>
          <w:rFonts w:eastAsia="Times New Roman"/>
          <w:color w:val="000000"/>
          <w:szCs w:val="28"/>
          <w:lang w:eastAsia="ru-RU"/>
        </w:rPr>
        <w:t>таргетных</w:t>
      </w:r>
      <w:proofErr w:type="spellEnd"/>
      <w:r w:rsidRPr="00BC7741">
        <w:rPr>
          <w:rFonts w:eastAsia="Times New Roman"/>
          <w:color w:val="000000"/>
          <w:szCs w:val="28"/>
          <w:lang w:eastAsia="ru-RU"/>
        </w:rPr>
        <w:t xml:space="preserve"> препаратов других групп.</w:t>
      </w:r>
    </w:p>
    <w:p w:rsidR="00BC7741" w:rsidRDefault="00BC7741" w:rsidP="00BC7741">
      <w:pPr>
        <w:spacing w:line="360" w:lineRule="auto"/>
        <w:ind w:firstLine="709"/>
        <w:jc w:val="both"/>
        <w:rPr>
          <w:color w:val="000000"/>
          <w:szCs w:val="28"/>
          <w:shd w:val="clear" w:color="auto" w:fill="FFFFFF"/>
        </w:rPr>
      </w:pPr>
      <w:r w:rsidRPr="00BC7741">
        <w:rPr>
          <w:color w:val="000000"/>
          <w:szCs w:val="28"/>
          <w:shd w:val="clear" w:color="auto" w:fill="FFFFFF"/>
        </w:rPr>
        <w:t xml:space="preserve">Таким образом, мы считаем, что последовательное назначение </w:t>
      </w:r>
      <w:proofErr w:type="spellStart"/>
      <w:r w:rsidRPr="00BC7741">
        <w:rPr>
          <w:color w:val="000000"/>
          <w:szCs w:val="28"/>
          <w:shd w:val="clear" w:color="auto" w:fill="FFFFFF"/>
        </w:rPr>
        <w:t>таргетных</w:t>
      </w:r>
      <w:proofErr w:type="spellEnd"/>
      <w:r w:rsidRPr="00BC7741">
        <w:rPr>
          <w:color w:val="000000"/>
          <w:szCs w:val="28"/>
          <w:shd w:val="clear" w:color="auto" w:fill="FFFFFF"/>
        </w:rPr>
        <w:t xml:space="preserve"> препаратов при </w:t>
      </w:r>
      <w:proofErr w:type="spellStart"/>
      <w:r w:rsidRPr="00BC7741">
        <w:rPr>
          <w:color w:val="000000"/>
          <w:szCs w:val="28"/>
          <w:shd w:val="clear" w:color="auto" w:fill="FFFFFF"/>
        </w:rPr>
        <w:t>мПКР</w:t>
      </w:r>
      <w:proofErr w:type="spellEnd"/>
      <w:r w:rsidRPr="00BC7741">
        <w:rPr>
          <w:color w:val="000000"/>
          <w:szCs w:val="28"/>
          <w:shd w:val="clear" w:color="auto" w:fill="FFFFFF"/>
        </w:rPr>
        <w:t xml:space="preserve"> - это серьезный процесс, который должен осуществляться при взвешенной оценке и сопоставимости абсолютно всех параметров, характеризующих метастатический процесс и функциональное состояние организма больного</w:t>
      </w:r>
      <w:r>
        <w:rPr>
          <w:color w:val="000000"/>
          <w:szCs w:val="28"/>
          <w:shd w:val="clear" w:color="auto" w:fill="FFFFFF"/>
        </w:rPr>
        <w:t>.</w:t>
      </w:r>
    </w:p>
    <w:p w:rsidR="00BC7741" w:rsidRDefault="00BC7741" w:rsidP="00BC7741">
      <w:pPr>
        <w:spacing w:line="360" w:lineRule="auto"/>
        <w:ind w:firstLine="709"/>
        <w:jc w:val="both"/>
        <w:rPr>
          <w:color w:val="000000"/>
          <w:szCs w:val="28"/>
          <w:shd w:val="clear" w:color="auto" w:fill="FFFFFF"/>
        </w:rPr>
      </w:pPr>
    </w:p>
    <w:p w:rsidR="00BC7741" w:rsidRDefault="00BC7741" w:rsidP="00BC7741">
      <w:pPr>
        <w:spacing w:line="360" w:lineRule="auto"/>
        <w:ind w:firstLine="709"/>
        <w:jc w:val="both"/>
        <w:rPr>
          <w:color w:val="000000"/>
          <w:szCs w:val="28"/>
          <w:shd w:val="clear" w:color="auto" w:fill="FFFFFF"/>
        </w:rPr>
      </w:pPr>
    </w:p>
    <w:p w:rsidR="00BC7741" w:rsidRDefault="00BC7741" w:rsidP="00BC7741">
      <w:pPr>
        <w:spacing w:line="360" w:lineRule="auto"/>
        <w:ind w:firstLine="709"/>
        <w:jc w:val="both"/>
        <w:rPr>
          <w:color w:val="000000"/>
          <w:szCs w:val="28"/>
          <w:shd w:val="clear" w:color="auto" w:fill="FFFFFF"/>
        </w:rPr>
      </w:pPr>
    </w:p>
    <w:p w:rsidR="00BC7741" w:rsidRDefault="00BC7741" w:rsidP="00BC7741">
      <w:pPr>
        <w:spacing w:line="360" w:lineRule="auto"/>
        <w:ind w:firstLine="709"/>
        <w:jc w:val="both"/>
        <w:rPr>
          <w:color w:val="000000"/>
          <w:szCs w:val="28"/>
          <w:shd w:val="clear" w:color="auto" w:fill="FFFFFF"/>
        </w:rPr>
      </w:pPr>
    </w:p>
    <w:p w:rsidR="00BC7741" w:rsidRDefault="00BC7741" w:rsidP="00BC7741">
      <w:pPr>
        <w:spacing w:line="360" w:lineRule="auto"/>
        <w:ind w:firstLine="709"/>
        <w:jc w:val="both"/>
        <w:rPr>
          <w:color w:val="000000"/>
          <w:szCs w:val="28"/>
          <w:shd w:val="clear" w:color="auto" w:fill="FFFFFF"/>
        </w:rPr>
      </w:pPr>
    </w:p>
    <w:p w:rsidR="00BC7741" w:rsidRDefault="00BC7741" w:rsidP="00BC7741">
      <w:pPr>
        <w:spacing w:line="360" w:lineRule="auto"/>
        <w:ind w:firstLine="709"/>
        <w:jc w:val="both"/>
        <w:rPr>
          <w:color w:val="000000"/>
          <w:szCs w:val="28"/>
          <w:shd w:val="clear" w:color="auto" w:fill="FFFFFF"/>
        </w:rPr>
      </w:pPr>
    </w:p>
    <w:p w:rsidR="00BC7741" w:rsidRPr="00BC7741" w:rsidRDefault="00BC7741" w:rsidP="00BC7741">
      <w:pPr>
        <w:spacing w:line="360" w:lineRule="auto"/>
        <w:ind w:firstLine="709"/>
        <w:jc w:val="both"/>
        <w:rPr>
          <w:szCs w:val="28"/>
        </w:rPr>
      </w:pPr>
    </w:p>
    <w:p w:rsidR="00BC7741" w:rsidRPr="00BC7741" w:rsidRDefault="00BC7741" w:rsidP="00BC7741">
      <w:pPr>
        <w:spacing w:line="360" w:lineRule="auto"/>
        <w:ind w:firstLine="709"/>
        <w:jc w:val="center"/>
        <w:rPr>
          <w:b/>
          <w:szCs w:val="28"/>
        </w:rPr>
      </w:pPr>
      <w:r w:rsidRPr="00BC7741">
        <w:rPr>
          <w:b/>
          <w:szCs w:val="28"/>
        </w:rPr>
        <w:t>Список литературы</w:t>
      </w:r>
    </w:p>
    <w:p w:rsidR="00BC7741" w:rsidRPr="00BC7741" w:rsidRDefault="00BC7741" w:rsidP="00BC7741">
      <w:pPr>
        <w:pStyle w:val="a3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Cs w:val="28"/>
        </w:rPr>
      </w:pPr>
      <w:proofErr w:type="spellStart"/>
      <w:r w:rsidRPr="00BC7741">
        <w:rPr>
          <w:szCs w:val="28"/>
        </w:rPr>
        <w:t>Каприн</w:t>
      </w:r>
      <w:proofErr w:type="spellEnd"/>
      <w:r w:rsidRPr="00BC7741">
        <w:rPr>
          <w:szCs w:val="28"/>
        </w:rPr>
        <w:t xml:space="preserve"> А.Д., </w:t>
      </w:r>
      <w:proofErr w:type="spellStart"/>
      <w:r w:rsidRPr="00BC7741">
        <w:rPr>
          <w:szCs w:val="28"/>
        </w:rPr>
        <w:t>Старинский</w:t>
      </w:r>
      <w:proofErr w:type="spellEnd"/>
      <w:r w:rsidRPr="00BC7741">
        <w:rPr>
          <w:szCs w:val="28"/>
        </w:rPr>
        <w:t xml:space="preserve"> В.В., Петрова Г.В. Состояние онкологической помощи населению России в 2014 году-М.: МНИОИ им. П.А. Герцена-филиал ФГБУ «НМИРЦ» Минздрава России - 2015 - 236 </w:t>
      </w:r>
      <w:proofErr w:type="gramStart"/>
      <w:r w:rsidRPr="00BC7741">
        <w:rPr>
          <w:szCs w:val="28"/>
        </w:rPr>
        <w:t>с</w:t>
      </w:r>
      <w:proofErr w:type="gramEnd"/>
      <w:r w:rsidRPr="00BC7741">
        <w:rPr>
          <w:szCs w:val="28"/>
        </w:rPr>
        <w:t>.</w:t>
      </w:r>
    </w:p>
    <w:p w:rsidR="00BC7741" w:rsidRPr="00BC7741" w:rsidRDefault="00BC7741" w:rsidP="00BC7741">
      <w:pPr>
        <w:pStyle w:val="a3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Cs w:val="28"/>
          <w:lang w:val="en-US"/>
        </w:rPr>
      </w:pPr>
      <w:proofErr w:type="spellStart"/>
      <w:r w:rsidRPr="00BC7741">
        <w:rPr>
          <w:szCs w:val="28"/>
          <w:lang w:val="en-US"/>
        </w:rPr>
        <w:t>Sablin</w:t>
      </w:r>
      <w:proofErr w:type="spellEnd"/>
      <w:r w:rsidRPr="00BC7741">
        <w:rPr>
          <w:szCs w:val="28"/>
          <w:lang w:val="en-US"/>
        </w:rPr>
        <w:t xml:space="preserve"> M. P., </w:t>
      </w:r>
      <w:hyperlink r:id="rId8" w:history="1">
        <w:r w:rsidRPr="00BC7741">
          <w:rPr>
            <w:rStyle w:val="a8"/>
            <w:color w:val="auto"/>
            <w:szCs w:val="28"/>
            <w:u w:val="none"/>
            <w:lang w:val="en-US"/>
          </w:rPr>
          <w:t xml:space="preserve">S. </w:t>
        </w:r>
        <w:proofErr w:type="spellStart"/>
        <w:r w:rsidRPr="00BC7741">
          <w:rPr>
            <w:rStyle w:val="a8"/>
            <w:color w:val="auto"/>
            <w:szCs w:val="28"/>
            <w:u w:val="none"/>
            <w:lang w:val="en-US"/>
          </w:rPr>
          <w:t>Negrier</w:t>
        </w:r>
        <w:proofErr w:type="spellEnd"/>
      </w:hyperlink>
      <w:r w:rsidRPr="00BC7741">
        <w:rPr>
          <w:szCs w:val="28"/>
          <w:lang w:val="en-US"/>
        </w:rPr>
        <w:t xml:space="preserve">, </w:t>
      </w:r>
      <w:hyperlink r:id="rId9" w:history="1">
        <w:r w:rsidRPr="00BC7741">
          <w:rPr>
            <w:rStyle w:val="a8"/>
            <w:color w:val="auto"/>
            <w:szCs w:val="28"/>
            <w:u w:val="none"/>
            <w:lang w:val="en-US"/>
          </w:rPr>
          <w:t xml:space="preserve">A. </w:t>
        </w:r>
        <w:proofErr w:type="spellStart"/>
        <w:r w:rsidRPr="00BC7741">
          <w:rPr>
            <w:rStyle w:val="a8"/>
            <w:color w:val="auto"/>
            <w:szCs w:val="28"/>
            <w:u w:val="none"/>
            <w:lang w:val="en-US"/>
          </w:rPr>
          <w:t>Ravaud</w:t>
        </w:r>
        <w:proofErr w:type="spellEnd"/>
      </w:hyperlink>
      <w:r w:rsidRPr="00BC7741">
        <w:rPr>
          <w:szCs w:val="28"/>
          <w:lang w:val="en-US"/>
        </w:rPr>
        <w:t xml:space="preserve">, </w:t>
      </w:r>
      <w:hyperlink r:id="rId10" w:history="1">
        <w:r w:rsidRPr="00BC7741">
          <w:rPr>
            <w:rStyle w:val="a8"/>
            <w:color w:val="auto"/>
            <w:szCs w:val="28"/>
            <w:u w:val="none"/>
            <w:lang w:val="en-US"/>
          </w:rPr>
          <w:t xml:space="preserve">S. </w:t>
        </w:r>
        <w:proofErr w:type="spellStart"/>
        <w:r w:rsidRPr="00BC7741">
          <w:rPr>
            <w:rStyle w:val="a8"/>
            <w:color w:val="auto"/>
            <w:szCs w:val="28"/>
            <w:u w:val="none"/>
            <w:lang w:val="en-US"/>
          </w:rPr>
          <w:t>Oudard</w:t>
        </w:r>
        <w:proofErr w:type="spellEnd"/>
      </w:hyperlink>
      <w:r w:rsidRPr="00BC7741">
        <w:rPr>
          <w:szCs w:val="28"/>
          <w:lang w:val="en-US"/>
        </w:rPr>
        <w:t xml:space="preserve">, </w:t>
      </w:r>
      <w:hyperlink r:id="rId11" w:history="1">
        <w:r w:rsidRPr="00BC7741">
          <w:rPr>
            <w:rStyle w:val="a8"/>
            <w:color w:val="auto"/>
            <w:szCs w:val="28"/>
            <w:u w:val="none"/>
            <w:lang w:val="en-US"/>
          </w:rPr>
          <w:t xml:space="preserve">C. </w:t>
        </w:r>
        <w:proofErr w:type="spellStart"/>
        <w:r w:rsidRPr="00BC7741">
          <w:rPr>
            <w:rStyle w:val="a8"/>
            <w:color w:val="auto"/>
            <w:szCs w:val="28"/>
            <w:u w:val="none"/>
            <w:lang w:val="en-US"/>
          </w:rPr>
          <w:t>Balleyguier</w:t>
        </w:r>
        <w:proofErr w:type="spellEnd"/>
      </w:hyperlink>
      <w:r w:rsidRPr="00BC7741">
        <w:rPr>
          <w:szCs w:val="28"/>
          <w:lang w:val="en-US"/>
        </w:rPr>
        <w:t xml:space="preserve">, </w:t>
      </w:r>
      <w:hyperlink r:id="rId12" w:history="1">
        <w:r w:rsidRPr="00BC7741">
          <w:rPr>
            <w:rStyle w:val="a8"/>
            <w:color w:val="auto"/>
            <w:szCs w:val="28"/>
            <w:u w:val="none"/>
            <w:lang w:val="en-US"/>
          </w:rPr>
          <w:t>J. Gautier</w:t>
        </w:r>
      </w:hyperlink>
      <w:r w:rsidRPr="00BC7741">
        <w:rPr>
          <w:szCs w:val="28"/>
          <w:lang w:val="en-US"/>
        </w:rPr>
        <w:t xml:space="preserve">, </w:t>
      </w:r>
      <w:hyperlink r:id="rId13" w:history="1">
        <w:r w:rsidRPr="00BC7741">
          <w:rPr>
            <w:rStyle w:val="a8"/>
            <w:color w:val="auto"/>
            <w:szCs w:val="28"/>
            <w:u w:val="none"/>
            <w:lang w:val="en-US"/>
          </w:rPr>
          <w:t xml:space="preserve">C. </w:t>
        </w:r>
        <w:proofErr w:type="spellStart"/>
        <w:r w:rsidRPr="00BC7741">
          <w:rPr>
            <w:rStyle w:val="a8"/>
            <w:color w:val="auto"/>
            <w:szCs w:val="28"/>
            <w:u w:val="none"/>
            <w:lang w:val="en-US"/>
          </w:rPr>
          <w:t>Celier</w:t>
        </w:r>
        <w:proofErr w:type="spellEnd"/>
      </w:hyperlink>
      <w:r w:rsidRPr="00BC7741">
        <w:rPr>
          <w:szCs w:val="28"/>
          <w:lang w:val="en-US"/>
        </w:rPr>
        <w:t xml:space="preserve">, </w:t>
      </w:r>
      <w:hyperlink r:id="rId14" w:history="1">
        <w:r w:rsidRPr="00BC7741">
          <w:rPr>
            <w:rStyle w:val="a8"/>
            <w:color w:val="auto"/>
            <w:szCs w:val="28"/>
            <w:u w:val="none"/>
            <w:lang w:val="en-US"/>
          </w:rPr>
          <w:t xml:space="preserve">J. </w:t>
        </w:r>
        <w:proofErr w:type="spellStart"/>
        <w:r w:rsidRPr="00BC7741">
          <w:rPr>
            <w:rStyle w:val="a8"/>
            <w:color w:val="auto"/>
            <w:szCs w:val="28"/>
            <w:u w:val="none"/>
            <w:lang w:val="en-US"/>
          </w:rPr>
          <w:t>Medioni</w:t>
        </w:r>
        <w:proofErr w:type="spellEnd"/>
      </w:hyperlink>
      <w:r w:rsidRPr="00BC7741">
        <w:rPr>
          <w:szCs w:val="28"/>
          <w:lang w:val="en-US"/>
        </w:rPr>
        <w:t xml:space="preserve">, </w:t>
      </w:r>
      <w:hyperlink r:id="rId15" w:history="1">
        <w:r w:rsidRPr="00BC7741">
          <w:rPr>
            <w:rStyle w:val="a8"/>
            <w:color w:val="auto"/>
            <w:szCs w:val="28"/>
            <w:u w:val="none"/>
            <w:lang w:val="en-US"/>
          </w:rPr>
          <w:t xml:space="preserve">B. </w:t>
        </w:r>
        <w:proofErr w:type="spellStart"/>
        <w:r w:rsidRPr="00BC7741">
          <w:rPr>
            <w:rStyle w:val="a8"/>
            <w:color w:val="auto"/>
            <w:szCs w:val="28"/>
            <w:u w:val="none"/>
            <w:lang w:val="en-US"/>
          </w:rPr>
          <w:t>Escudier</w:t>
        </w:r>
        <w:proofErr w:type="spellEnd"/>
      </w:hyperlink>
      <w:r w:rsidRPr="00BC7741">
        <w:rPr>
          <w:szCs w:val="28"/>
          <w:lang w:val="en-US"/>
        </w:rPr>
        <w:t xml:space="preserve"> et al. Sequential </w:t>
      </w:r>
      <w:proofErr w:type="spellStart"/>
      <w:r w:rsidRPr="00BC7741">
        <w:rPr>
          <w:szCs w:val="28"/>
          <w:lang w:val="en-US"/>
        </w:rPr>
        <w:t>sorafenib</w:t>
      </w:r>
      <w:proofErr w:type="spellEnd"/>
      <w:r w:rsidRPr="00BC7741">
        <w:rPr>
          <w:szCs w:val="28"/>
          <w:lang w:val="en-US"/>
        </w:rPr>
        <w:t xml:space="preserve"> and </w:t>
      </w:r>
      <w:proofErr w:type="spellStart"/>
      <w:r w:rsidRPr="00BC7741">
        <w:rPr>
          <w:szCs w:val="28"/>
          <w:lang w:val="en-US"/>
        </w:rPr>
        <w:t>sunitinib</w:t>
      </w:r>
      <w:proofErr w:type="spellEnd"/>
      <w:r w:rsidRPr="00BC7741">
        <w:rPr>
          <w:szCs w:val="28"/>
          <w:lang w:val="en-US"/>
        </w:rPr>
        <w:t xml:space="preserve"> for renal cell carcinoma. J Urol. 2009; 182 (1): 29–34.</w:t>
      </w:r>
    </w:p>
    <w:p w:rsidR="00BC7741" w:rsidRPr="00BC7741" w:rsidRDefault="00BC7741" w:rsidP="00BC7741">
      <w:pPr>
        <w:pStyle w:val="a3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Cs w:val="28"/>
          <w:lang w:val="en-US"/>
        </w:rPr>
      </w:pPr>
      <w:r w:rsidRPr="00BC7741">
        <w:rPr>
          <w:szCs w:val="28"/>
          <w:lang w:val="en-US"/>
        </w:rPr>
        <w:t xml:space="preserve"> </w:t>
      </w:r>
      <w:r w:rsidRPr="00BC7741">
        <w:rPr>
          <w:szCs w:val="28"/>
          <w:lang w:val="de-DE"/>
        </w:rPr>
        <w:t xml:space="preserve">Dudek A. Z., </w:t>
      </w:r>
      <w:proofErr w:type="spellStart"/>
      <w:r w:rsidRPr="00BC7741">
        <w:rPr>
          <w:szCs w:val="28"/>
          <w:lang w:val="de-DE"/>
        </w:rPr>
        <w:t>Zolnieriek</w:t>
      </w:r>
      <w:proofErr w:type="spellEnd"/>
      <w:r w:rsidRPr="00BC7741">
        <w:rPr>
          <w:szCs w:val="28"/>
          <w:lang w:val="de-DE"/>
        </w:rPr>
        <w:t xml:space="preserve"> J., </w:t>
      </w:r>
      <w:proofErr w:type="spellStart"/>
      <w:r w:rsidRPr="00BC7741">
        <w:rPr>
          <w:szCs w:val="28"/>
          <w:lang w:val="de-DE"/>
        </w:rPr>
        <w:t>Dham</w:t>
      </w:r>
      <w:proofErr w:type="spellEnd"/>
      <w:r w:rsidRPr="00BC7741">
        <w:rPr>
          <w:szCs w:val="28"/>
          <w:lang w:val="de-DE"/>
        </w:rPr>
        <w:t xml:space="preserve"> A., Lindgren B. R., </w:t>
      </w:r>
      <w:proofErr w:type="spellStart"/>
      <w:r w:rsidRPr="00BC7741">
        <w:rPr>
          <w:szCs w:val="28"/>
          <w:lang w:val="de-DE"/>
        </w:rPr>
        <w:t>Szczylik</w:t>
      </w:r>
      <w:proofErr w:type="spellEnd"/>
      <w:r w:rsidRPr="00BC7741">
        <w:rPr>
          <w:szCs w:val="28"/>
          <w:lang w:val="de-DE"/>
        </w:rPr>
        <w:t xml:space="preserve"> C. (2009). </w:t>
      </w:r>
      <w:r w:rsidRPr="00BC7741">
        <w:rPr>
          <w:szCs w:val="28"/>
          <w:lang w:val="en-US"/>
        </w:rPr>
        <w:t xml:space="preserve">Sequential therapy with </w:t>
      </w:r>
      <w:proofErr w:type="spellStart"/>
      <w:r w:rsidRPr="00BC7741">
        <w:rPr>
          <w:szCs w:val="28"/>
          <w:lang w:val="en-US"/>
        </w:rPr>
        <w:t>sorafenib</w:t>
      </w:r>
      <w:proofErr w:type="spellEnd"/>
      <w:r w:rsidRPr="00BC7741">
        <w:rPr>
          <w:szCs w:val="28"/>
          <w:lang w:val="en-US"/>
        </w:rPr>
        <w:t xml:space="preserve"> and </w:t>
      </w:r>
      <w:proofErr w:type="spellStart"/>
      <w:r w:rsidRPr="00BC7741">
        <w:rPr>
          <w:szCs w:val="28"/>
          <w:lang w:val="en-US"/>
        </w:rPr>
        <w:t>sunitinib</w:t>
      </w:r>
      <w:proofErr w:type="spellEnd"/>
      <w:r w:rsidRPr="00BC7741">
        <w:rPr>
          <w:szCs w:val="28"/>
          <w:lang w:val="en-US"/>
        </w:rPr>
        <w:t xml:space="preserve"> in renal cell carcinoma. Cancer 115:61–67.</w:t>
      </w:r>
    </w:p>
    <w:p w:rsidR="00BC7741" w:rsidRPr="00BC7741" w:rsidRDefault="00BC7741" w:rsidP="00BC7741">
      <w:pPr>
        <w:pStyle w:val="a3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Cs w:val="28"/>
          <w:lang w:val="en-US"/>
        </w:rPr>
      </w:pPr>
      <w:r w:rsidRPr="00BC7741">
        <w:rPr>
          <w:szCs w:val="28"/>
          <w:lang w:val="en-US"/>
        </w:rPr>
        <w:t xml:space="preserve">Herrmann E., </w:t>
      </w:r>
      <w:proofErr w:type="spellStart"/>
      <w:r w:rsidRPr="00BC7741">
        <w:rPr>
          <w:szCs w:val="28"/>
          <w:lang w:val="en-US"/>
        </w:rPr>
        <w:t>Marschner</w:t>
      </w:r>
      <w:proofErr w:type="spellEnd"/>
      <w:r w:rsidRPr="00BC7741">
        <w:rPr>
          <w:szCs w:val="28"/>
          <w:lang w:val="en-US"/>
        </w:rPr>
        <w:t xml:space="preserve"> N., Grimm M. O., </w:t>
      </w:r>
      <w:proofErr w:type="spellStart"/>
      <w:r w:rsidRPr="00BC7741">
        <w:rPr>
          <w:szCs w:val="28"/>
          <w:lang w:val="en-US"/>
        </w:rPr>
        <w:t>Ohlmann</w:t>
      </w:r>
      <w:proofErr w:type="spellEnd"/>
      <w:r w:rsidRPr="00BC7741">
        <w:rPr>
          <w:szCs w:val="28"/>
          <w:lang w:val="en-US"/>
        </w:rPr>
        <w:t xml:space="preserve"> C. H., </w:t>
      </w:r>
      <w:proofErr w:type="spellStart"/>
      <w:r w:rsidRPr="00BC7741">
        <w:rPr>
          <w:szCs w:val="28"/>
          <w:lang w:val="en-US"/>
        </w:rPr>
        <w:t>Hutzschenreuter</w:t>
      </w:r>
      <w:proofErr w:type="spellEnd"/>
      <w:r w:rsidRPr="00BC7741">
        <w:rPr>
          <w:szCs w:val="28"/>
          <w:lang w:val="en-US"/>
        </w:rPr>
        <w:t xml:space="preserve"> U., </w:t>
      </w:r>
      <w:proofErr w:type="spellStart"/>
      <w:r w:rsidRPr="00BC7741">
        <w:rPr>
          <w:szCs w:val="28"/>
          <w:lang w:val="en-US"/>
        </w:rPr>
        <w:t>Overkamp</w:t>
      </w:r>
      <w:proofErr w:type="spellEnd"/>
      <w:r w:rsidRPr="00BC7741">
        <w:rPr>
          <w:szCs w:val="28"/>
          <w:lang w:val="en-US"/>
        </w:rPr>
        <w:t xml:space="preserve"> F., </w:t>
      </w:r>
      <w:proofErr w:type="spellStart"/>
      <w:r w:rsidRPr="00BC7741">
        <w:rPr>
          <w:szCs w:val="28"/>
          <w:lang w:val="en-US"/>
        </w:rPr>
        <w:t>Groschek</w:t>
      </w:r>
      <w:proofErr w:type="spellEnd"/>
      <w:r w:rsidRPr="00BC7741">
        <w:rPr>
          <w:szCs w:val="28"/>
          <w:lang w:val="en-US"/>
        </w:rPr>
        <w:t xml:space="preserve"> M., </w:t>
      </w:r>
      <w:proofErr w:type="spellStart"/>
      <w:r w:rsidRPr="00BC7741">
        <w:rPr>
          <w:szCs w:val="28"/>
          <w:lang w:val="en-US"/>
        </w:rPr>
        <w:t>Blumenstengel</w:t>
      </w:r>
      <w:proofErr w:type="spellEnd"/>
      <w:r w:rsidRPr="00BC7741">
        <w:rPr>
          <w:szCs w:val="28"/>
          <w:lang w:val="en-US"/>
        </w:rPr>
        <w:t xml:space="preserve"> K., </w:t>
      </w:r>
      <w:proofErr w:type="spellStart"/>
      <w:r w:rsidRPr="00BC7741">
        <w:rPr>
          <w:szCs w:val="28"/>
          <w:lang w:val="en-US"/>
        </w:rPr>
        <w:t>Pühse</w:t>
      </w:r>
      <w:proofErr w:type="spellEnd"/>
      <w:r w:rsidRPr="00BC7741">
        <w:rPr>
          <w:szCs w:val="28"/>
          <w:lang w:val="en-US"/>
        </w:rPr>
        <w:t xml:space="preserve"> G., Steiner T. Sequential therapies with </w:t>
      </w:r>
      <w:proofErr w:type="spellStart"/>
      <w:r w:rsidRPr="00BC7741">
        <w:rPr>
          <w:szCs w:val="28"/>
          <w:lang w:val="en-US"/>
        </w:rPr>
        <w:t>sorafenib</w:t>
      </w:r>
      <w:proofErr w:type="spellEnd"/>
      <w:r w:rsidRPr="00BC7741">
        <w:rPr>
          <w:szCs w:val="28"/>
          <w:lang w:val="en-US"/>
        </w:rPr>
        <w:t xml:space="preserve"> and </w:t>
      </w:r>
      <w:proofErr w:type="spellStart"/>
      <w:r w:rsidRPr="00BC7741">
        <w:rPr>
          <w:szCs w:val="28"/>
          <w:lang w:val="en-US"/>
        </w:rPr>
        <w:t>sunitinib</w:t>
      </w:r>
      <w:proofErr w:type="spellEnd"/>
      <w:r w:rsidRPr="00BC7741">
        <w:rPr>
          <w:szCs w:val="28"/>
          <w:lang w:val="en-US"/>
        </w:rPr>
        <w:t xml:space="preserve"> in advanced or metastatic renal cell carcinoma. World J Urol. 2011 Jun; 29 (3):361–6.</w:t>
      </w:r>
    </w:p>
    <w:p w:rsidR="00BC7741" w:rsidRPr="00BC7741" w:rsidRDefault="00BC7741" w:rsidP="00BC7741">
      <w:pPr>
        <w:pStyle w:val="a3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Cs w:val="28"/>
          <w:lang w:val="en-US"/>
        </w:rPr>
      </w:pPr>
      <w:proofErr w:type="spellStart"/>
      <w:r w:rsidRPr="00BC7741">
        <w:rPr>
          <w:szCs w:val="28"/>
          <w:lang w:val="en-US"/>
        </w:rPr>
        <w:lastRenderedPageBreak/>
        <w:t>Buchler</w:t>
      </w:r>
      <w:proofErr w:type="spellEnd"/>
      <w:r w:rsidRPr="00BC7741">
        <w:rPr>
          <w:szCs w:val="28"/>
          <w:lang w:val="en-US"/>
        </w:rPr>
        <w:t xml:space="preserve"> T., </w:t>
      </w:r>
      <w:proofErr w:type="spellStart"/>
      <w:r w:rsidRPr="00BC7741">
        <w:rPr>
          <w:szCs w:val="28"/>
          <w:lang w:val="en-US"/>
        </w:rPr>
        <w:t>Klapka</w:t>
      </w:r>
      <w:proofErr w:type="spellEnd"/>
      <w:r w:rsidRPr="00BC7741">
        <w:rPr>
          <w:szCs w:val="28"/>
          <w:lang w:val="en-US"/>
        </w:rPr>
        <w:t xml:space="preserve"> R., </w:t>
      </w:r>
      <w:proofErr w:type="spellStart"/>
      <w:r w:rsidRPr="00BC7741">
        <w:rPr>
          <w:szCs w:val="28"/>
          <w:lang w:val="en-US"/>
        </w:rPr>
        <w:t>Melichar</w:t>
      </w:r>
      <w:proofErr w:type="spellEnd"/>
      <w:r w:rsidRPr="00BC7741">
        <w:rPr>
          <w:szCs w:val="28"/>
          <w:lang w:val="en-US"/>
        </w:rPr>
        <w:t xml:space="preserve"> B., </w:t>
      </w:r>
      <w:proofErr w:type="spellStart"/>
      <w:r w:rsidRPr="00BC7741">
        <w:rPr>
          <w:szCs w:val="28"/>
          <w:lang w:val="en-US"/>
        </w:rPr>
        <w:t>Brabec</w:t>
      </w:r>
      <w:proofErr w:type="spellEnd"/>
      <w:r w:rsidRPr="00BC7741">
        <w:rPr>
          <w:szCs w:val="28"/>
          <w:lang w:val="en-US"/>
        </w:rPr>
        <w:t xml:space="preserve"> P., </w:t>
      </w:r>
      <w:proofErr w:type="spellStart"/>
      <w:r w:rsidRPr="00BC7741">
        <w:rPr>
          <w:szCs w:val="28"/>
          <w:lang w:val="en-US"/>
        </w:rPr>
        <w:t>Dusek</w:t>
      </w:r>
      <w:proofErr w:type="spellEnd"/>
      <w:r w:rsidRPr="00BC7741">
        <w:rPr>
          <w:szCs w:val="28"/>
          <w:lang w:val="en-US"/>
        </w:rPr>
        <w:t xml:space="preserve"> L., </w:t>
      </w:r>
      <w:proofErr w:type="spellStart"/>
      <w:r w:rsidRPr="00BC7741">
        <w:rPr>
          <w:szCs w:val="28"/>
          <w:lang w:val="en-US"/>
        </w:rPr>
        <w:t>Vyzula</w:t>
      </w:r>
      <w:proofErr w:type="spellEnd"/>
      <w:r w:rsidRPr="00BC7741">
        <w:rPr>
          <w:szCs w:val="28"/>
          <w:lang w:val="en-US"/>
        </w:rPr>
        <w:t xml:space="preserve"> R., </w:t>
      </w:r>
      <w:proofErr w:type="spellStart"/>
      <w:r w:rsidRPr="00BC7741">
        <w:rPr>
          <w:szCs w:val="28"/>
          <w:lang w:val="en-US"/>
        </w:rPr>
        <w:t>Abrahamova</w:t>
      </w:r>
      <w:proofErr w:type="spellEnd"/>
      <w:r w:rsidRPr="00BC7741">
        <w:rPr>
          <w:szCs w:val="28"/>
          <w:lang w:val="en-US"/>
        </w:rPr>
        <w:t xml:space="preserve"> J. </w:t>
      </w:r>
      <w:proofErr w:type="spellStart"/>
      <w:r w:rsidRPr="00BC7741">
        <w:rPr>
          <w:szCs w:val="28"/>
          <w:lang w:val="en-US"/>
        </w:rPr>
        <w:t>Sunitinib</w:t>
      </w:r>
      <w:proofErr w:type="spellEnd"/>
      <w:r w:rsidRPr="00BC7741">
        <w:rPr>
          <w:szCs w:val="28"/>
          <w:lang w:val="en-US"/>
        </w:rPr>
        <w:t xml:space="preserve"> followed by </w:t>
      </w:r>
      <w:proofErr w:type="spellStart"/>
      <w:r w:rsidRPr="00BC7741">
        <w:rPr>
          <w:szCs w:val="28"/>
          <w:lang w:val="en-US"/>
        </w:rPr>
        <w:t>sorafenib</w:t>
      </w:r>
      <w:proofErr w:type="spellEnd"/>
      <w:r w:rsidRPr="00BC7741">
        <w:rPr>
          <w:szCs w:val="28"/>
          <w:lang w:val="en-US"/>
        </w:rPr>
        <w:t xml:space="preserve"> or vice versa for metastatic renal cell carcinoma – data from the Czech registry. Ann </w:t>
      </w:r>
      <w:proofErr w:type="spellStart"/>
      <w:r w:rsidRPr="00BC7741">
        <w:rPr>
          <w:szCs w:val="28"/>
          <w:lang w:val="en-US"/>
        </w:rPr>
        <w:t>Oncol</w:t>
      </w:r>
      <w:proofErr w:type="spellEnd"/>
      <w:r w:rsidRPr="00BC7741">
        <w:rPr>
          <w:szCs w:val="28"/>
          <w:lang w:val="en-US"/>
        </w:rPr>
        <w:t>. 2012 Feb; 23 (2):395–401.</w:t>
      </w:r>
    </w:p>
    <w:p w:rsidR="00BC7741" w:rsidRPr="00BC7741" w:rsidRDefault="00BC7741" w:rsidP="00BC7741">
      <w:pPr>
        <w:pStyle w:val="a3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Cs w:val="28"/>
          <w:lang w:val="en-US"/>
        </w:rPr>
      </w:pPr>
      <w:proofErr w:type="spellStart"/>
      <w:r w:rsidRPr="00BC7741">
        <w:rPr>
          <w:szCs w:val="28"/>
          <w:lang w:val="en-US"/>
        </w:rPr>
        <w:t>Porta</w:t>
      </w:r>
      <w:proofErr w:type="spellEnd"/>
      <w:r w:rsidRPr="00BC7741">
        <w:rPr>
          <w:szCs w:val="28"/>
          <w:lang w:val="en-US"/>
        </w:rPr>
        <w:t xml:space="preserve"> C., </w:t>
      </w:r>
      <w:proofErr w:type="spellStart"/>
      <w:r w:rsidRPr="00BC7741">
        <w:rPr>
          <w:szCs w:val="28"/>
          <w:lang w:val="en-US"/>
        </w:rPr>
        <w:t>Procopio</w:t>
      </w:r>
      <w:proofErr w:type="spellEnd"/>
      <w:r w:rsidRPr="00BC7741">
        <w:rPr>
          <w:szCs w:val="28"/>
          <w:lang w:val="en-US"/>
        </w:rPr>
        <w:t xml:space="preserve"> G., </w:t>
      </w:r>
      <w:proofErr w:type="spellStart"/>
      <w:r w:rsidRPr="00BC7741">
        <w:rPr>
          <w:szCs w:val="28"/>
          <w:lang w:val="en-US"/>
        </w:rPr>
        <w:t>Cartenì</w:t>
      </w:r>
      <w:proofErr w:type="spellEnd"/>
      <w:r w:rsidRPr="00BC7741">
        <w:rPr>
          <w:szCs w:val="28"/>
          <w:lang w:val="en-US"/>
        </w:rPr>
        <w:t xml:space="preserve"> G., </w:t>
      </w:r>
      <w:proofErr w:type="spellStart"/>
      <w:r w:rsidRPr="00BC7741">
        <w:rPr>
          <w:szCs w:val="28"/>
          <w:lang w:val="en-US"/>
        </w:rPr>
        <w:t>Sabbatini</w:t>
      </w:r>
      <w:proofErr w:type="spellEnd"/>
      <w:r w:rsidRPr="00BC7741">
        <w:rPr>
          <w:szCs w:val="28"/>
          <w:lang w:val="en-US"/>
        </w:rPr>
        <w:t xml:space="preserve"> R., </w:t>
      </w:r>
      <w:proofErr w:type="spellStart"/>
      <w:r w:rsidRPr="00BC7741">
        <w:rPr>
          <w:szCs w:val="28"/>
          <w:lang w:val="en-US"/>
        </w:rPr>
        <w:t>Bearz</w:t>
      </w:r>
      <w:proofErr w:type="spellEnd"/>
      <w:r w:rsidRPr="00BC7741">
        <w:rPr>
          <w:szCs w:val="28"/>
          <w:lang w:val="en-US"/>
        </w:rPr>
        <w:t xml:space="preserve"> A., </w:t>
      </w:r>
      <w:proofErr w:type="spellStart"/>
      <w:r w:rsidRPr="00BC7741">
        <w:rPr>
          <w:szCs w:val="28"/>
          <w:lang w:val="en-US"/>
        </w:rPr>
        <w:t>Chiappino</w:t>
      </w:r>
      <w:proofErr w:type="spellEnd"/>
      <w:r w:rsidRPr="00BC7741">
        <w:rPr>
          <w:szCs w:val="28"/>
          <w:lang w:val="en-US"/>
        </w:rPr>
        <w:t xml:space="preserve"> I., Ruggeri E. M., Re G. L., Ricotta R., </w:t>
      </w:r>
      <w:proofErr w:type="spellStart"/>
      <w:r w:rsidRPr="00BC7741">
        <w:rPr>
          <w:szCs w:val="28"/>
          <w:lang w:val="en-US"/>
        </w:rPr>
        <w:t>Zustovich</w:t>
      </w:r>
      <w:proofErr w:type="spellEnd"/>
      <w:r w:rsidRPr="00BC7741">
        <w:rPr>
          <w:szCs w:val="28"/>
          <w:lang w:val="en-US"/>
        </w:rPr>
        <w:t xml:space="preserve"> F., </w:t>
      </w:r>
      <w:proofErr w:type="spellStart"/>
      <w:r w:rsidRPr="00BC7741">
        <w:rPr>
          <w:szCs w:val="28"/>
          <w:lang w:val="en-US"/>
        </w:rPr>
        <w:t>Landi</w:t>
      </w:r>
      <w:proofErr w:type="spellEnd"/>
      <w:r w:rsidRPr="00BC7741">
        <w:rPr>
          <w:szCs w:val="28"/>
          <w:lang w:val="en-US"/>
        </w:rPr>
        <w:t xml:space="preserve"> L., Calcagno A., </w:t>
      </w:r>
      <w:proofErr w:type="spellStart"/>
      <w:r w:rsidRPr="00BC7741">
        <w:rPr>
          <w:szCs w:val="28"/>
          <w:lang w:val="en-US"/>
        </w:rPr>
        <w:t>Imarisio</w:t>
      </w:r>
      <w:proofErr w:type="spellEnd"/>
      <w:r w:rsidRPr="00BC7741">
        <w:rPr>
          <w:szCs w:val="28"/>
          <w:lang w:val="en-US"/>
        </w:rPr>
        <w:t xml:space="preserve"> I., </w:t>
      </w:r>
      <w:proofErr w:type="spellStart"/>
      <w:r w:rsidRPr="00BC7741">
        <w:rPr>
          <w:szCs w:val="28"/>
          <w:lang w:val="en-US"/>
        </w:rPr>
        <w:t>Verzoni</w:t>
      </w:r>
      <w:proofErr w:type="spellEnd"/>
      <w:r w:rsidRPr="00BC7741">
        <w:rPr>
          <w:szCs w:val="28"/>
          <w:lang w:val="en-US"/>
        </w:rPr>
        <w:t xml:space="preserve"> E., Rizzo M., </w:t>
      </w:r>
      <w:proofErr w:type="spellStart"/>
      <w:r w:rsidRPr="00BC7741">
        <w:rPr>
          <w:szCs w:val="28"/>
          <w:lang w:val="en-US"/>
        </w:rPr>
        <w:t>Paglino</w:t>
      </w:r>
      <w:proofErr w:type="spellEnd"/>
      <w:r w:rsidRPr="00BC7741">
        <w:rPr>
          <w:szCs w:val="28"/>
          <w:lang w:val="en-US"/>
        </w:rPr>
        <w:t xml:space="preserve"> C,. </w:t>
      </w:r>
      <w:proofErr w:type="spellStart"/>
      <w:r w:rsidRPr="00BC7741">
        <w:rPr>
          <w:szCs w:val="28"/>
          <w:lang w:val="en-US"/>
        </w:rPr>
        <w:t>Guadalupi</w:t>
      </w:r>
      <w:proofErr w:type="spellEnd"/>
      <w:r w:rsidRPr="00BC7741">
        <w:rPr>
          <w:szCs w:val="28"/>
          <w:lang w:val="en-US"/>
        </w:rPr>
        <w:t xml:space="preserve"> V., </w:t>
      </w:r>
      <w:proofErr w:type="spellStart"/>
      <w:r w:rsidRPr="00BC7741">
        <w:rPr>
          <w:szCs w:val="28"/>
          <w:lang w:val="en-US"/>
        </w:rPr>
        <w:t>Bajetta</w:t>
      </w:r>
      <w:proofErr w:type="spellEnd"/>
      <w:r w:rsidRPr="00BC7741">
        <w:rPr>
          <w:szCs w:val="28"/>
          <w:lang w:val="en-US"/>
        </w:rPr>
        <w:t xml:space="preserve"> E. Sequential use of </w:t>
      </w:r>
      <w:proofErr w:type="spellStart"/>
      <w:r w:rsidRPr="00BC7741">
        <w:rPr>
          <w:szCs w:val="28"/>
          <w:lang w:val="en-US"/>
        </w:rPr>
        <w:t>sorafenib</w:t>
      </w:r>
      <w:proofErr w:type="spellEnd"/>
      <w:r w:rsidRPr="00BC7741">
        <w:rPr>
          <w:szCs w:val="28"/>
          <w:lang w:val="en-US"/>
        </w:rPr>
        <w:t xml:space="preserve"> and </w:t>
      </w:r>
      <w:proofErr w:type="spellStart"/>
      <w:r w:rsidRPr="00BC7741">
        <w:rPr>
          <w:szCs w:val="28"/>
          <w:lang w:val="en-US"/>
        </w:rPr>
        <w:t>sunitinib</w:t>
      </w:r>
      <w:proofErr w:type="spellEnd"/>
      <w:r w:rsidRPr="00BC7741">
        <w:rPr>
          <w:szCs w:val="28"/>
          <w:lang w:val="en-US"/>
        </w:rPr>
        <w:t xml:space="preserve"> in advanced </w:t>
      </w:r>
      <w:proofErr w:type="spellStart"/>
      <w:r w:rsidRPr="00BC7741">
        <w:rPr>
          <w:szCs w:val="28"/>
          <w:lang w:val="en-US"/>
        </w:rPr>
        <w:t>renalcell</w:t>
      </w:r>
      <w:proofErr w:type="spellEnd"/>
      <w:r w:rsidRPr="00BC7741">
        <w:rPr>
          <w:szCs w:val="28"/>
          <w:lang w:val="en-US"/>
        </w:rPr>
        <w:t xml:space="preserve"> carcinoma (RCC): an Italian multicentre retrospective analysis of 189 patient cases. BJU Int. 2011 Oct;</w:t>
      </w:r>
      <w:r w:rsidRPr="00BC7741">
        <w:rPr>
          <w:szCs w:val="28"/>
        </w:rPr>
        <w:t xml:space="preserve"> </w:t>
      </w:r>
      <w:r w:rsidRPr="00BC7741">
        <w:rPr>
          <w:szCs w:val="28"/>
          <w:lang w:val="en-US"/>
        </w:rPr>
        <w:t>108 (8 Pt 2): E250–7.</w:t>
      </w:r>
    </w:p>
    <w:p w:rsidR="00BC7741" w:rsidRPr="00BC7741" w:rsidRDefault="00BC7741" w:rsidP="00BC7741">
      <w:pPr>
        <w:numPr>
          <w:ilvl w:val="0"/>
          <w:numId w:val="11"/>
        </w:numPr>
        <w:shd w:val="clear" w:color="auto" w:fill="FFFFFF"/>
        <w:spacing w:line="360" w:lineRule="auto"/>
        <w:ind w:left="0" w:firstLine="709"/>
        <w:jc w:val="both"/>
        <w:rPr>
          <w:rFonts w:eastAsia="Times New Roman"/>
          <w:iCs/>
          <w:color w:val="000000"/>
          <w:szCs w:val="28"/>
          <w:lang w:val="en-US" w:eastAsia="ru-RU"/>
        </w:rPr>
      </w:pPr>
      <w:r w:rsidRPr="00BC7741">
        <w:rPr>
          <w:szCs w:val="28"/>
          <w:lang w:val="de-DE"/>
        </w:rPr>
        <w:t xml:space="preserve">Maurice Stephan Michel, </w:t>
      </w:r>
      <w:proofErr w:type="spellStart"/>
      <w:r w:rsidRPr="00BC7741">
        <w:rPr>
          <w:szCs w:val="28"/>
          <w:lang w:val="de-DE"/>
        </w:rPr>
        <w:t>Vervenne</w:t>
      </w:r>
      <w:proofErr w:type="spellEnd"/>
      <w:r w:rsidRPr="00BC7741">
        <w:rPr>
          <w:szCs w:val="28"/>
          <w:lang w:val="de-DE"/>
        </w:rPr>
        <w:t xml:space="preserve"> W., de Santis M. et al. </w:t>
      </w:r>
      <w:r w:rsidRPr="00BC7741">
        <w:rPr>
          <w:szCs w:val="28"/>
          <w:lang w:val="en-US"/>
        </w:rPr>
        <w:t xml:space="preserve">SWITCH </w:t>
      </w:r>
      <w:r w:rsidRPr="00BC7741">
        <w:rPr>
          <w:rStyle w:val="a5"/>
          <w:szCs w:val="28"/>
          <w:lang w:val="en-US"/>
        </w:rPr>
        <w:t>I</w:t>
      </w:r>
      <w:r w:rsidRPr="00BC7741">
        <w:rPr>
          <w:szCs w:val="28"/>
          <w:lang w:val="en-US"/>
        </w:rPr>
        <w:t xml:space="preserve">: A randomized sequential open-label study to evaluate efficacy and safety of </w:t>
      </w:r>
      <w:proofErr w:type="spellStart"/>
      <w:r w:rsidRPr="00BC7741">
        <w:rPr>
          <w:szCs w:val="28"/>
          <w:lang w:val="en-US"/>
        </w:rPr>
        <w:t>sorafenib</w:t>
      </w:r>
      <w:proofErr w:type="spellEnd"/>
      <w:r w:rsidRPr="00BC7741">
        <w:rPr>
          <w:szCs w:val="28"/>
          <w:lang w:val="en-US"/>
        </w:rPr>
        <w:t xml:space="preserve"> (SO)/</w:t>
      </w:r>
      <w:proofErr w:type="spellStart"/>
      <w:r w:rsidRPr="00BC7741">
        <w:rPr>
          <w:szCs w:val="28"/>
          <w:lang w:val="en-US"/>
        </w:rPr>
        <w:t>sunitinib</w:t>
      </w:r>
      <w:proofErr w:type="spellEnd"/>
      <w:r w:rsidRPr="00BC7741">
        <w:rPr>
          <w:szCs w:val="28"/>
          <w:lang w:val="en-US"/>
        </w:rPr>
        <w:t xml:space="preserve"> (SU) versus SU/SO in the treatment of metastatic renal cell cancer. J </w:t>
      </w:r>
      <w:proofErr w:type="spellStart"/>
      <w:r w:rsidRPr="00BC7741">
        <w:rPr>
          <w:szCs w:val="28"/>
          <w:lang w:val="en-US"/>
        </w:rPr>
        <w:t>Clin</w:t>
      </w:r>
      <w:proofErr w:type="spellEnd"/>
      <w:r w:rsidRPr="00BC7741">
        <w:rPr>
          <w:szCs w:val="28"/>
          <w:lang w:val="en-US"/>
        </w:rPr>
        <w:t xml:space="preserve"> </w:t>
      </w:r>
      <w:proofErr w:type="spellStart"/>
      <w:r w:rsidRPr="00BC7741">
        <w:rPr>
          <w:szCs w:val="28"/>
          <w:lang w:val="en-US"/>
        </w:rPr>
        <w:t>Oncol</w:t>
      </w:r>
      <w:proofErr w:type="spellEnd"/>
      <w:r w:rsidRPr="00BC7741">
        <w:rPr>
          <w:szCs w:val="28"/>
          <w:lang w:val="en-US"/>
        </w:rPr>
        <w:t xml:space="preserve"> 2014; 32 (</w:t>
      </w:r>
      <w:proofErr w:type="spellStart"/>
      <w:r w:rsidRPr="00BC7741">
        <w:rPr>
          <w:szCs w:val="28"/>
          <w:lang w:val="en-US"/>
        </w:rPr>
        <w:t>suppl</w:t>
      </w:r>
      <w:proofErr w:type="spellEnd"/>
      <w:r w:rsidRPr="00BC7741">
        <w:rPr>
          <w:szCs w:val="28"/>
          <w:lang w:val="en-US"/>
        </w:rPr>
        <w:t xml:space="preserve"> 4; abstr</w:t>
      </w:r>
      <w:r w:rsidRPr="00BC7741">
        <w:rPr>
          <w:rFonts w:eastAsia="Times New Roman"/>
          <w:iCs/>
          <w:color w:val="000000"/>
          <w:szCs w:val="28"/>
          <w:lang w:val="en-US" w:eastAsia="ru-RU"/>
        </w:rPr>
        <w:t>act</w:t>
      </w:r>
      <w:r w:rsidRPr="00BC7741">
        <w:rPr>
          <w:szCs w:val="28"/>
          <w:lang w:val="en-US"/>
        </w:rPr>
        <w:t xml:space="preserve"> 393), </w:t>
      </w:r>
      <w:r w:rsidRPr="00BC7741">
        <w:rPr>
          <w:rFonts w:eastAsia="Times New Roman"/>
          <w:iCs/>
          <w:color w:val="000000"/>
          <w:szCs w:val="28"/>
          <w:lang w:val="en-US" w:eastAsia="ru-RU"/>
        </w:rPr>
        <w:t>Genitourinary Cancers Symposium.</w:t>
      </w:r>
    </w:p>
    <w:p w:rsidR="00BC7741" w:rsidRPr="00BC7741" w:rsidRDefault="00BC7741" w:rsidP="00BC7741">
      <w:pPr>
        <w:pStyle w:val="a3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Cs w:val="28"/>
          <w:lang w:val="en-US"/>
        </w:rPr>
      </w:pPr>
      <w:proofErr w:type="spellStart"/>
      <w:r w:rsidRPr="00BC7741">
        <w:rPr>
          <w:szCs w:val="28"/>
          <w:lang w:val="en-US"/>
        </w:rPr>
        <w:t>Stenner</w:t>
      </w:r>
      <w:proofErr w:type="spellEnd"/>
      <w:r w:rsidRPr="00BC7741">
        <w:rPr>
          <w:szCs w:val="28"/>
          <w:lang w:val="en-US"/>
        </w:rPr>
        <w:t xml:space="preserve"> F., </w:t>
      </w:r>
      <w:proofErr w:type="spellStart"/>
      <w:r w:rsidRPr="00BC7741">
        <w:rPr>
          <w:szCs w:val="28"/>
          <w:lang w:val="en-US"/>
        </w:rPr>
        <w:t>Chastonay</w:t>
      </w:r>
      <w:proofErr w:type="spellEnd"/>
      <w:r w:rsidRPr="00BC7741">
        <w:rPr>
          <w:szCs w:val="28"/>
          <w:lang w:val="en-US"/>
        </w:rPr>
        <w:t xml:space="preserve"> R., </w:t>
      </w:r>
      <w:proofErr w:type="spellStart"/>
      <w:r w:rsidRPr="00BC7741">
        <w:rPr>
          <w:szCs w:val="28"/>
          <w:lang w:val="en-US"/>
        </w:rPr>
        <w:t>Liewen</w:t>
      </w:r>
      <w:proofErr w:type="spellEnd"/>
      <w:r w:rsidRPr="00BC7741">
        <w:rPr>
          <w:szCs w:val="28"/>
          <w:lang w:val="en-US"/>
        </w:rPr>
        <w:t xml:space="preserve"> H. et al. A pooled analysis of sequential therapies with </w:t>
      </w:r>
      <w:proofErr w:type="spellStart"/>
      <w:r w:rsidRPr="00BC7741">
        <w:rPr>
          <w:szCs w:val="28"/>
          <w:lang w:val="en-US"/>
        </w:rPr>
        <w:t>sorafenib</w:t>
      </w:r>
      <w:proofErr w:type="spellEnd"/>
      <w:r w:rsidRPr="00BC7741">
        <w:rPr>
          <w:szCs w:val="28"/>
          <w:lang w:val="en-US"/>
        </w:rPr>
        <w:t xml:space="preserve"> and </w:t>
      </w:r>
      <w:proofErr w:type="spellStart"/>
      <w:r w:rsidRPr="00BC7741">
        <w:rPr>
          <w:szCs w:val="28"/>
          <w:lang w:val="en-US"/>
        </w:rPr>
        <w:t>sunitinib</w:t>
      </w:r>
      <w:proofErr w:type="spellEnd"/>
      <w:r w:rsidRPr="00BC7741">
        <w:rPr>
          <w:szCs w:val="28"/>
          <w:lang w:val="en-US"/>
        </w:rPr>
        <w:t xml:space="preserve"> in metastatic renal cell carcinoma. </w:t>
      </w:r>
      <w:proofErr w:type="spellStart"/>
      <w:r w:rsidRPr="00BC7741">
        <w:rPr>
          <w:szCs w:val="28"/>
        </w:rPr>
        <w:t>Oncology</w:t>
      </w:r>
      <w:proofErr w:type="spellEnd"/>
      <w:r w:rsidRPr="00BC7741">
        <w:rPr>
          <w:szCs w:val="28"/>
        </w:rPr>
        <w:t xml:space="preserve"> 2012;82(6): 333–40</w:t>
      </w:r>
    </w:p>
    <w:p w:rsidR="00BC7741" w:rsidRPr="00BC7741" w:rsidRDefault="00BC7741" w:rsidP="00BC7741">
      <w:pPr>
        <w:pStyle w:val="a3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Cs w:val="28"/>
          <w:lang w:val="en-US"/>
        </w:rPr>
      </w:pPr>
      <w:r w:rsidRPr="00BC7741">
        <w:rPr>
          <w:szCs w:val="28"/>
          <w:lang w:val="en-US"/>
        </w:rPr>
        <w:t xml:space="preserve">Di Lorenzo G., </w:t>
      </w:r>
      <w:proofErr w:type="spellStart"/>
      <w:r w:rsidRPr="00BC7741">
        <w:rPr>
          <w:szCs w:val="28"/>
          <w:lang w:val="en-US"/>
        </w:rPr>
        <w:t>Buonerba</w:t>
      </w:r>
      <w:proofErr w:type="spellEnd"/>
      <w:r w:rsidRPr="00BC7741">
        <w:rPr>
          <w:szCs w:val="28"/>
          <w:lang w:val="en-US"/>
        </w:rPr>
        <w:t xml:space="preserve"> C., Federico P. et al. Third-line </w:t>
      </w:r>
      <w:proofErr w:type="spellStart"/>
      <w:r w:rsidRPr="00BC7741">
        <w:rPr>
          <w:szCs w:val="28"/>
          <w:lang w:val="en-US"/>
        </w:rPr>
        <w:t>sorafenib</w:t>
      </w:r>
      <w:proofErr w:type="spellEnd"/>
      <w:r w:rsidRPr="00BC7741">
        <w:rPr>
          <w:szCs w:val="28"/>
          <w:lang w:val="en-US"/>
        </w:rPr>
        <w:t xml:space="preserve"> after sequential therapy with </w:t>
      </w:r>
      <w:proofErr w:type="spellStart"/>
      <w:r w:rsidRPr="00BC7741">
        <w:rPr>
          <w:szCs w:val="28"/>
          <w:lang w:val="en-US"/>
        </w:rPr>
        <w:t>sunitinib</w:t>
      </w:r>
      <w:proofErr w:type="spellEnd"/>
      <w:r w:rsidRPr="00BC7741">
        <w:rPr>
          <w:szCs w:val="28"/>
          <w:lang w:val="en-US"/>
        </w:rPr>
        <w:t xml:space="preserve"> and </w:t>
      </w:r>
      <w:proofErr w:type="spellStart"/>
      <w:r w:rsidRPr="00BC7741">
        <w:rPr>
          <w:szCs w:val="28"/>
          <w:lang w:val="en-US"/>
        </w:rPr>
        <w:t>mTOR</w:t>
      </w:r>
      <w:proofErr w:type="spellEnd"/>
      <w:r w:rsidRPr="00BC7741">
        <w:rPr>
          <w:szCs w:val="28"/>
          <w:lang w:val="en-US"/>
        </w:rPr>
        <w:t xml:space="preserve"> inhibitors in metastatic renal cell carcinoma. </w:t>
      </w:r>
      <w:proofErr w:type="spellStart"/>
      <w:r w:rsidRPr="00BC7741">
        <w:rPr>
          <w:szCs w:val="28"/>
          <w:lang w:val="en-US"/>
        </w:rPr>
        <w:t>Eur</w:t>
      </w:r>
      <w:proofErr w:type="spellEnd"/>
      <w:r w:rsidRPr="00BC7741">
        <w:rPr>
          <w:szCs w:val="28"/>
          <w:lang w:val="en-US"/>
        </w:rPr>
        <w:t xml:space="preserve"> </w:t>
      </w:r>
      <w:proofErr w:type="spellStart"/>
      <w:r w:rsidRPr="00BC7741">
        <w:rPr>
          <w:szCs w:val="28"/>
          <w:lang w:val="en-US"/>
        </w:rPr>
        <w:t>Urol</w:t>
      </w:r>
      <w:proofErr w:type="spellEnd"/>
      <w:r w:rsidRPr="00BC7741">
        <w:rPr>
          <w:szCs w:val="28"/>
          <w:lang w:val="en-US"/>
        </w:rPr>
        <w:t xml:space="preserve"> 2010;58(6):</w:t>
      </w:r>
      <w:r w:rsidRPr="00BC7741">
        <w:rPr>
          <w:szCs w:val="28"/>
        </w:rPr>
        <w:t xml:space="preserve"> </w:t>
      </w:r>
      <w:r w:rsidRPr="00BC7741">
        <w:rPr>
          <w:szCs w:val="28"/>
          <w:lang w:val="en-US"/>
        </w:rPr>
        <w:t>906–11</w:t>
      </w:r>
    </w:p>
    <w:p w:rsidR="00BC7741" w:rsidRPr="00BC7741" w:rsidRDefault="00BC7741" w:rsidP="00BC7741">
      <w:pPr>
        <w:pStyle w:val="a3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Cs w:val="28"/>
          <w:lang w:val="en-US"/>
        </w:rPr>
      </w:pPr>
      <w:r w:rsidRPr="00BC7741">
        <w:rPr>
          <w:szCs w:val="28"/>
          <w:lang w:val="de-DE"/>
        </w:rPr>
        <w:t xml:space="preserve">Di Lorenzo G., </w:t>
      </w:r>
      <w:proofErr w:type="spellStart"/>
      <w:r w:rsidRPr="00BC7741">
        <w:rPr>
          <w:szCs w:val="28"/>
          <w:lang w:val="de-DE"/>
        </w:rPr>
        <w:t>Autorino</w:t>
      </w:r>
      <w:proofErr w:type="spellEnd"/>
      <w:r w:rsidRPr="00BC7741">
        <w:rPr>
          <w:szCs w:val="28"/>
          <w:lang w:val="de-DE"/>
        </w:rPr>
        <w:t xml:space="preserve"> R., Bruni G. et al. </w:t>
      </w:r>
      <w:r w:rsidRPr="00BC7741">
        <w:rPr>
          <w:szCs w:val="28"/>
          <w:lang w:val="en-US"/>
        </w:rPr>
        <w:t xml:space="preserve">Cardiovascular toxicity following </w:t>
      </w:r>
      <w:proofErr w:type="spellStart"/>
      <w:r w:rsidRPr="00BC7741">
        <w:rPr>
          <w:szCs w:val="28"/>
          <w:lang w:val="en-US"/>
        </w:rPr>
        <w:t>sunitinib</w:t>
      </w:r>
      <w:proofErr w:type="spellEnd"/>
      <w:r w:rsidRPr="00BC7741">
        <w:rPr>
          <w:szCs w:val="28"/>
          <w:lang w:val="en-US"/>
        </w:rPr>
        <w:t xml:space="preserve"> therapy in metastatic renal cell carcinoma: a multicenter analysis. Ann </w:t>
      </w:r>
      <w:proofErr w:type="spellStart"/>
      <w:r w:rsidRPr="00BC7741">
        <w:rPr>
          <w:szCs w:val="28"/>
          <w:lang w:val="en-US"/>
        </w:rPr>
        <w:t>Oncol</w:t>
      </w:r>
      <w:proofErr w:type="spellEnd"/>
      <w:r w:rsidRPr="00BC7741">
        <w:rPr>
          <w:szCs w:val="28"/>
          <w:lang w:val="en-US"/>
        </w:rPr>
        <w:t xml:space="preserve"> 2009;</w:t>
      </w:r>
      <w:r w:rsidRPr="00BC7741">
        <w:rPr>
          <w:szCs w:val="28"/>
        </w:rPr>
        <w:t xml:space="preserve"> </w:t>
      </w:r>
      <w:r w:rsidRPr="00BC7741">
        <w:rPr>
          <w:szCs w:val="28"/>
          <w:lang w:val="en-US"/>
        </w:rPr>
        <w:t>20(9):1535–42.</w:t>
      </w:r>
    </w:p>
    <w:p w:rsidR="00BC7741" w:rsidRPr="00BC7741" w:rsidRDefault="00BC7741" w:rsidP="00BC7741">
      <w:pPr>
        <w:pStyle w:val="a3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Cs w:val="28"/>
          <w:lang w:val="en-US"/>
        </w:rPr>
      </w:pPr>
      <w:r w:rsidRPr="00BC7741">
        <w:rPr>
          <w:szCs w:val="28"/>
          <w:lang w:val="en-US"/>
        </w:rPr>
        <w:t xml:space="preserve">Yuan J.L., Wang F.L., Yi X.M. et al. More than 10 years survival with sequential therapy in a patient with advanced renal cell carcinoma: a case report. </w:t>
      </w:r>
      <w:proofErr w:type="spellStart"/>
      <w:r w:rsidRPr="00BC7741">
        <w:rPr>
          <w:szCs w:val="28"/>
          <w:lang w:val="en-US"/>
        </w:rPr>
        <w:t>Braz</w:t>
      </w:r>
      <w:proofErr w:type="spellEnd"/>
      <w:r w:rsidRPr="00BC7741">
        <w:rPr>
          <w:szCs w:val="28"/>
          <w:lang w:val="en-US"/>
        </w:rPr>
        <w:t xml:space="preserve"> J Med </w:t>
      </w:r>
      <w:proofErr w:type="spellStart"/>
      <w:r w:rsidRPr="00BC7741">
        <w:rPr>
          <w:szCs w:val="28"/>
          <w:lang w:val="en-US"/>
        </w:rPr>
        <w:t>Biol</w:t>
      </w:r>
      <w:proofErr w:type="spellEnd"/>
      <w:r w:rsidRPr="00BC7741">
        <w:rPr>
          <w:szCs w:val="28"/>
          <w:lang w:val="en-US"/>
        </w:rPr>
        <w:t xml:space="preserve"> Res 2015;</w:t>
      </w:r>
      <w:r w:rsidRPr="00BC7741">
        <w:rPr>
          <w:szCs w:val="28"/>
        </w:rPr>
        <w:t xml:space="preserve"> </w:t>
      </w:r>
      <w:r w:rsidRPr="00BC7741">
        <w:rPr>
          <w:szCs w:val="28"/>
          <w:lang w:val="en-US"/>
        </w:rPr>
        <w:t>48(1):34–8.</w:t>
      </w:r>
    </w:p>
    <w:p w:rsidR="00BC7741" w:rsidRPr="00BC7741" w:rsidRDefault="00BC7741" w:rsidP="00BC7741">
      <w:pPr>
        <w:pStyle w:val="a3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Cs w:val="28"/>
          <w:lang w:val="en-US"/>
        </w:rPr>
      </w:pPr>
      <w:proofErr w:type="spellStart"/>
      <w:r w:rsidRPr="00BC7741">
        <w:rPr>
          <w:szCs w:val="28"/>
          <w:lang w:val="en-US"/>
        </w:rPr>
        <w:t>Motzer</w:t>
      </w:r>
      <w:proofErr w:type="spellEnd"/>
      <w:r w:rsidRPr="00BC7741">
        <w:rPr>
          <w:szCs w:val="28"/>
          <w:lang w:val="en-US"/>
        </w:rPr>
        <w:t xml:space="preserve"> R.J., </w:t>
      </w:r>
      <w:proofErr w:type="spellStart"/>
      <w:r w:rsidRPr="00BC7741">
        <w:rPr>
          <w:szCs w:val="28"/>
          <w:lang w:val="en-US"/>
        </w:rPr>
        <w:t>Hutson</w:t>
      </w:r>
      <w:proofErr w:type="spellEnd"/>
      <w:r w:rsidRPr="00BC7741">
        <w:rPr>
          <w:szCs w:val="28"/>
          <w:lang w:val="en-US"/>
        </w:rPr>
        <w:t xml:space="preserve"> T.E., Reeves J. et al. Randomized open-label phase III trial of </w:t>
      </w:r>
      <w:proofErr w:type="spellStart"/>
      <w:r w:rsidRPr="00BC7741">
        <w:rPr>
          <w:szCs w:val="28"/>
          <w:lang w:val="en-US"/>
        </w:rPr>
        <w:t>pazopanib</w:t>
      </w:r>
      <w:proofErr w:type="spellEnd"/>
      <w:r w:rsidRPr="00BC7741">
        <w:rPr>
          <w:szCs w:val="28"/>
          <w:lang w:val="en-US"/>
        </w:rPr>
        <w:t xml:space="preserve"> versus </w:t>
      </w:r>
      <w:proofErr w:type="spellStart"/>
      <w:r w:rsidRPr="00BC7741">
        <w:rPr>
          <w:szCs w:val="28"/>
          <w:lang w:val="en-US"/>
        </w:rPr>
        <w:t>sunitinib</w:t>
      </w:r>
      <w:proofErr w:type="spellEnd"/>
      <w:r w:rsidRPr="00BC7741">
        <w:rPr>
          <w:szCs w:val="28"/>
          <w:lang w:val="en-US"/>
        </w:rPr>
        <w:t xml:space="preserve"> in first-line treatment of patients with </w:t>
      </w:r>
      <w:r w:rsidRPr="00BC7741">
        <w:rPr>
          <w:szCs w:val="28"/>
          <w:lang w:val="en-US"/>
        </w:rPr>
        <w:lastRenderedPageBreak/>
        <w:t>metastatic renal cell carcinoma (MRCC): Results of the COMPARZ trial. 2012 ESMO Congress. Abstract LBA8. Presented October 1, 2012.</w:t>
      </w:r>
    </w:p>
    <w:p w:rsidR="00BC7741" w:rsidRPr="00BC7741" w:rsidRDefault="00BC7741" w:rsidP="00BC7741">
      <w:pPr>
        <w:pStyle w:val="a3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Cs w:val="28"/>
        </w:rPr>
      </w:pPr>
      <w:r w:rsidRPr="00BC7741">
        <w:rPr>
          <w:bCs/>
          <w:szCs w:val="28"/>
        </w:rPr>
        <w:t xml:space="preserve">В.И. </w:t>
      </w:r>
      <w:proofErr w:type="spellStart"/>
      <w:r w:rsidRPr="00BC7741">
        <w:rPr>
          <w:bCs/>
          <w:szCs w:val="28"/>
        </w:rPr>
        <w:t>Широкорад</w:t>
      </w:r>
      <w:proofErr w:type="spellEnd"/>
      <w:r w:rsidRPr="00BC7741">
        <w:rPr>
          <w:bCs/>
          <w:szCs w:val="28"/>
        </w:rPr>
        <w:t xml:space="preserve">, А.Н. </w:t>
      </w:r>
      <w:proofErr w:type="spellStart"/>
      <w:r w:rsidRPr="00BC7741">
        <w:rPr>
          <w:bCs/>
          <w:szCs w:val="28"/>
        </w:rPr>
        <w:t>Махсон</w:t>
      </w:r>
      <w:proofErr w:type="spellEnd"/>
      <w:r w:rsidRPr="00BC7741">
        <w:rPr>
          <w:bCs/>
          <w:szCs w:val="28"/>
        </w:rPr>
        <w:t>.</w:t>
      </w:r>
      <w:r w:rsidRPr="00BC7741">
        <w:rPr>
          <w:color w:val="CD0917"/>
          <w:szCs w:val="28"/>
        </w:rPr>
        <w:t xml:space="preserve"> </w:t>
      </w:r>
      <w:r w:rsidRPr="00BC7741">
        <w:rPr>
          <w:szCs w:val="28"/>
        </w:rPr>
        <w:t xml:space="preserve">Первые результаты </w:t>
      </w:r>
      <w:proofErr w:type="spellStart"/>
      <w:r w:rsidRPr="00BC7741">
        <w:rPr>
          <w:szCs w:val="28"/>
        </w:rPr>
        <w:t>таргетной</w:t>
      </w:r>
      <w:proofErr w:type="spellEnd"/>
      <w:r w:rsidRPr="00BC7741">
        <w:rPr>
          <w:szCs w:val="28"/>
        </w:rPr>
        <w:t xml:space="preserve"> терапии при раке почки в Москве: </w:t>
      </w:r>
      <w:proofErr w:type="spellStart"/>
      <w:r w:rsidRPr="00BC7741">
        <w:rPr>
          <w:szCs w:val="28"/>
        </w:rPr>
        <w:t>Онкоурология</w:t>
      </w:r>
      <w:proofErr w:type="spellEnd"/>
      <w:r w:rsidRPr="00BC7741">
        <w:rPr>
          <w:color w:val="CD0917"/>
          <w:szCs w:val="28"/>
        </w:rPr>
        <w:t xml:space="preserve"> </w:t>
      </w:r>
      <w:r w:rsidRPr="00BC7741">
        <w:rPr>
          <w:color w:val="000000"/>
          <w:szCs w:val="28"/>
        </w:rPr>
        <w:t>3’ 2013г. 24-29 стр.</w:t>
      </w:r>
    </w:p>
    <w:p w:rsidR="00BC7741" w:rsidRPr="00BC7741" w:rsidRDefault="00BC7741" w:rsidP="00BC7741">
      <w:pPr>
        <w:pStyle w:val="a3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Cs w:val="28"/>
        </w:rPr>
      </w:pPr>
      <w:r w:rsidRPr="00BC7741">
        <w:rPr>
          <w:bCs/>
          <w:szCs w:val="28"/>
        </w:rPr>
        <w:t xml:space="preserve">Е.Н. </w:t>
      </w:r>
      <w:proofErr w:type="spellStart"/>
      <w:r w:rsidRPr="00BC7741">
        <w:rPr>
          <w:bCs/>
          <w:szCs w:val="28"/>
        </w:rPr>
        <w:t>Имянитов</w:t>
      </w:r>
      <w:proofErr w:type="spellEnd"/>
      <w:r w:rsidRPr="00BC7741">
        <w:rPr>
          <w:bCs/>
          <w:szCs w:val="28"/>
        </w:rPr>
        <w:t xml:space="preserve">., Общие представления о </w:t>
      </w:r>
      <w:proofErr w:type="spellStart"/>
      <w:r w:rsidRPr="00BC7741">
        <w:rPr>
          <w:bCs/>
          <w:szCs w:val="28"/>
        </w:rPr>
        <w:t>таргетной</w:t>
      </w:r>
      <w:proofErr w:type="spellEnd"/>
      <w:r w:rsidRPr="00BC7741">
        <w:rPr>
          <w:bCs/>
          <w:szCs w:val="28"/>
        </w:rPr>
        <w:t xml:space="preserve"> терапии: </w:t>
      </w:r>
      <w:proofErr w:type="spellStart"/>
      <w:r w:rsidRPr="00BC7741">
        <w:rPr>
          <w:color w:val="0A0B0C"/>
          <w:szCs w:val="28"/>
          <w:shd w:val="clear" w:color="auto" w:fill="FBFCFC"/>
        </w:rPr>
        <w:t>Practical</w:t>
      </w:r>
      <w:proofErr w:type="spellEnd"/>
      <w:r w:rsidRPr="00BC7741">
        <w:rPr>
          <w:color w:val="0A0B0C"/>
          <w:szCs w:val="28"/>
          <w:shd w:val="clear" w:color="auto" w:fill="FBFCFC"/>
        </w:rPr>
        <w:t xml:space="preserve"> </w:t>
      </w:r>
      <w:proofErr w:type="spellStart"/>
      <w:r w:rsidRPr="00BC7741">
        <w:rPr>
          <w:color w:val="0A0B0C"/>
          <w:szCs w:val="28"/>
          <w:shd w:val="clear" w:color="auto" w:fill="FBFCFC"/>
        </w:rPr>
        <w:t>oncology</w:t>
      </w:r>
      <w:proofErr w:type="spellEnd"/>
      <w:r w:rsidRPr="00BC7741">
        <w:rPr>
          <w:color w:val="0A0B0C"/>
          <w:szCs w:val="28"/>
          <w:shd w:val="clear" w:color="auto" w:fill="FBFCFC"/>
        </w:rPr>
        <w:t xml:space="preserve">, </w:t>
      </w:r>
      <w:r w:rsidRPr="00BC7741">
        <w:rPr>
          <w:bCs/>
          <w:szCs w:val="28"/>
        </w:rPr>
        <w:t>практическая онкология, Т. 11, №3 – 2010.</w:t>
      </w:r>
    </w:p>
    <w:p w:rsidR="00BC7741" w:rsidRPr="00BC7741" w:rsidRDefault="00BC7741" w:rsidP="00BC7741">
      <w:pPr>
        <w:pStyle w:val="a3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Cs w:val="28"/>
        </w:rPr>
      </w:pPr>
      <w:r w:rsidRPr="00BC7741">
        <w:rPr>
          <w:bCs/>
          <w:szCs w:val="28"/>
        </w:rPr>
        <w:t xml:space="preserve">Д.А. Носов, Е.А. Ворошилова. Современное представление об алгоритме лекарственного лечения и оптимальной последовательности использования </w:t>
      </w:r>
      <w:proofErr w:type="spellStart"/>
      <w:r w:rsidRPr="00BC7741">
        <w:rPr>
          <w:bCs/>
          <w:szCs w:val="28"/>
        </w:rPr>
        <w:t>таргетных</w:t>
      </w:r>
      <w:proofErr w:type="spellEnd"/>
      <w:r w:rsidRPr="00BC7741">
        <w:rPr>
          <w:bCs/>
          <w:szCs w:val="28"/>
        </w:rPr>
        <w:t xml:space="preserve"> препаратов: </w:t>
      </w:r>
      <w:proofErr w:type="spellStart"/>
      <w:r w:rsidRPr="00BC7741">
        <w:rPr>
          <w:bCs/>
          <w:szCs w:val="28"/>
        </w:rPr>
        <w:t>Онкоурология</w:t>
      </w:r>
      <w:proofErr w:type="spellEnd"/>
      <w:r w:rsidRPr="00BC7741">
        <w:rPr>
          <w:bCs/>
          <w:szCs w:val="28"/>
        </w:rPr>
        <w:t xml:space="preserve"> </w:t>
      </w:r>
      <w:r w:rsidRPr="00BC7741">
        <w:rPr>
          <w:color w:val="000000"/>
          <w:szCs w:val="28"/>
        </w:rPr>
        <w:t>3’ 2014г.12-19стр.</w:t>
      </w:r>
    </w:p>
    <w:p w:rsidR="00BC7741" w:rsidRPr="00BC7741" w:rsidRDefault="00BC7741" w:rsidP="00BC7741">
      <w:pPr>
        <w:pStyle w:val="a3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Cs w:val="28"/>
          <w:lang w:val="en-US"/>
        </w:rPr>
      </w:pPr>
      <w:proofErr w:type="spellStart"/>
      <w:r w:rsidRPr="00BC7741">
        <w:rPr>
          <w:szCs w:val="28"/>
          <w:shd w:val="clear" w:color="auto" w:fill="FFFFFF"/>
          <w:lang w:val="en-US"/>
        </w:rPr>
        <w:t>Choueiri</w:t>
      </w:r>
      <w:proofErr w:type="spellEnd"/>
      <w:r w:rsidRPr="00BC7741">
        <w:rPr>
          <w:szCs w:val="28"/>
          <w:shd w:val="clear" w:color="auto" w:fill="FFFFFF"/>
          <w:lang w:val="en-US"/>
        </w:rPr>
        <w:t xml:space="preserve"> T.K., Brick A.J., Mc Dermott D. et al (2008) Treatment and dosing patterns for angiogenesis inhibitor (AIS) therapies in patients with metastatic renal cell carcinoma (</w:t>
      </w:r>
      <w:proofErr w:type="spellStart"/>
      <w:r w:rsidRPr="00BC7741">
        <w:rPr>
          <w:szCs w:val="28"/>
          <w:shd w:val="clear" w:color="auto" w:fill="FFFFFF"/>
          <w:lang w:val="en-US"/>
        </w:rPr>
        <w:t>mRCC</w:t>
      </w:r>
      <w:proofErr w:type="spellEnd"/>
      <w:r w:rsidRPr="00BC7741">
        <w:rPr>
          <w:szCs w:val="28"/>
          <w:shd w:val="clear" w:color="auto" w:fill="FFFFFF"/>
          <w:lang w:val="en-US"/>
        </w:rPr>
        <w:t xml:space="preserve">). Ann </w:t>
      </w:r>
      <w:proofErr w:type="spellStart"/>
      <w:r w:rsidRPr="00BC7741">
        <w:rPr>
          <w:szCs w:val="28"/>
          <w:shd w:val="clear" w:color="auto" w:fill="FFFFFF"/>
          <w:lang w:val="en-US"/>
        </w:rPr>
        <w:t>Oncol</w:t>
      </w:r>
      <w:proofErr w:type="spellEnd"/>
      <w:r w:rsidRPr="00BC7741">
        <w:rPr>
          <w:szCs w:val="28"/>
          <w:shd w:val="clear" w:color="auto" w:fill="FFFFFF"/>
          <w:lang w:val="en-US"/>
        </w:rPr>
        <w:t xml:space="preserve"> 19(</w:t>
      </w:r>
      <w:proofErr w:type="spellStart"/>
      <w:r w:rsidRPr="00BC7741">
        <w:rPr>
          <w:szCs w:val="28"/>
          <w:shd w:val="clear" w:color="auto" w:fill="FFFFFF"/>
          <w:lang w:val="en-US"/>
        </w:rPr>
        <w:t>Suppl</w:t>
      </w:r>
      <w:proofErr w:type="spellEnd"/>
      <w:r w:rsidRPr="00BC7741">
        <w:rPr>
          <w:szCs w:val="28"/>
          <w:shd w:val="clear" w:color="auto" w:fill="FFFFFF"/>
          <w:lang w:val="en-US"/>
        </w:rPr>
        <w:t>): viii 191 (abstract 593P)</w:t>
      </w:r>
    </w:p>
    <w:p w:rsidR="00BC7741" w:rsidRPr="00BC7741" w:rsidRDefault="00BC7741" w:rsidP="00BC7741">
      <w:pPr>
        <w:pStyle w:val="a3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Style w:val="occurrence"/>
          <w:szCs w:val="28"/>
          <w:lang w:val="en-US"/>
        </w:rPr>
      </w:pPr>
      <w:proofErr w:type="spellStart"/>
      <w:r w:rsidRPr="00BC7741">
        <w:rPr>
          <w:szCs w:val="28"/>
          <w:shd w:val="clear" w:color="auto" w:fill="FFFFFF"/>
          <w:lang w:val="en-US"/>
        </w:rPr>
        <w:t>Tamaskar</w:t>
      </w:r>
      <w:proofErr w:type="spellEnd"/>
      <w:r w:rsidRPr="00BC7741">
        <w:rPr>
          <w:szCs w:val="28"/>
          <w:shd w:val="clear" w:color="auto" w:fill="FFFFFF"/>
          <w:lang w:val="en-US"/>
        </w:rPr>
        <w:t xml:space="preserve"> I., Garcia J.A., Elson P. et al (2008) Antitumor effects of </w:t>
      </w:r>
      <w:proofErr w:type="spellStart"/>
      <w:r w:rsidRPr="00BC7741">
        <w:rPr>
          <w:szCs w:val="28"/>
          <w:shd w:val="clear" w:color="auto" w:fill="FFFFFF"/>
          <w:lang w:val="en-US"/>
        </w:rPr>
        <w:t>sunitinib</w:t>
      </w:r>
      <w:proofErr w:type="spellEnd"/>
      <w:r w:rsidRPr="00BC7741">
        <w:rPr>
          <w:szCs w:val="28"/>
          <w:shd w:val="clear" w:color="auto" w:fill="FFFFFF"/>
          <w:lang w:val="en-US"/>
        </w:rPr>
        <w:t xml:space="preserve"> or </w:t>
      </w:r>
      <w:proofErr w:type="spellStart"/>
      <w:r w:rsidRPr="00BC7741">
        <w:rPr>
          <w:szCs w:val="28"/>
          <w:shd w:val="clear" w:color="auto" w:fill="FFFFFF"/>
          <w:lang w:val="en-US"/>
        </w:rPr>
        <w:t>sorafenib</w:t>
      </w:r>
      <w:proofErr w:type="spellEnd"/>
      <w:r w:rsidRPr="00BC7741">
        <w:rPr>
          <w:szCs w:val="28"/>
          <w:shd w:val="clear" w:color="auto" w:fill="FFFFFF"/>
          <w:lang w:val="en-US"/>
        </w:rPr>
        <w:t xml:space="preserve"> in patients with metastatic renal cell carcinoma who received prior </w:t>
      </w:r>
      <w:proofErr w:type="spellStart"/>
      <w:r w:rsidRPr="00BC7741">
        <w:rPr>
          <w:szCs w:val="28"/>
          <w:shd w:val="clear" w:color="auto" w:fill="FFFFFF"/>
          <w:lang w:val="en-US"/>
        </w:rPr>
        <w:t>antiangiogenic</w:t>
      </w:r>
      <w:proofErr w:type="spellEnd"/>
      <w:r w:rsidRPr="00BC7741">
        <w:rPr>
          <w:szCs w:val="28"/>
          <w:shd w:val="clear" w:color="auto" w:fill="FFFFFF"/>
          <w:lang w:val="en-US"/>
        </w:rPr>
        <w:t xml:space="preserve"> therapy. J </w:t>
      </w:r>
      <w:proofErr w:type="spellStart"/>
      <w:r w:rsidRPr="00BC7741">
        <w:rPr>
          <w:szCs w:val="28"/>
          <w:shd w:val="clear" w:color="auto" w:fill="FFFFFF"/>
          <w:lang w:val="en-US"/>
        </w:rPr>
        <w:t>Urol</w:t>
      </w:r>
      <w:proofErr w:type="spellEnd"/>
      <w:r w:rsidRPr="00BC7741">
        <w:rPr>
          <w:szCs w:val="28"/>
          <w:shd w:val="clear" w:color="auto" w:fill="FFFFFF"/>
          <w:lang w:val="en-US"/>
        </w:rPr>
        <w:t xml:space="preserve"> 179: 81–86</w:t>
      </w:r>
      <w:r w:rsidRPr="00BC7741">
        <w:rPr>
          <w:rStyle w:val="occurrence"/>
          <w:szCs w:val="28"/>
          <w:bdr w:val="none" w:sz="0" w:space="0" w:color="auto" w:frame="1"/>
          <w:shd w:val="clear" w:color="auto" w:fill="FFFFFF"/>
          <w:lang w:val="en-US"/>
        </w:rPr>
        <w:t>.</w:t>
      </w:r>
    </w:p>
    <w:p w:rsidR="00BC7741" w:rsidRPr="00BC7741" w:rsidRDefault="00BC7741" w:rsidP="00BC7741">
      <w:pPr>
        <w:pStyle w:val="a3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Cs w:val="28"/>
          <w:lang w:val="en-US"/>
        </w:rPr>
      </w:pPr>
      <w:r w:rsidRPr="00BC7741">
        <w:rPr>
          <w:szCs w:val="28"/>
          <w:shd w:val="clear" w:color="auto" w:fill="FFFFFF"/>
          <w:lang w:val="en-US"/>
        </w:rPr>
        <w:t xml:space="preserve">Richter S., </w:t>
      </w:r>
      <w:proofErr w:type="spellStart"/>
      <w:r w:rsidRPr="00BC7741">
        <w:rPr>
          <w:szCs w:val="28"/>
          <w:shd w:val="clear" w:color="auto" w:fill="FFFFFF"/>
          <w:lang w:val="en-US"/>
        </w:rPr>
        <w:t>Pfister</w:t>
      </w:r>
      <w:proofErr w:type="spellEnd"/>
      <w:r w:rsidRPr="00BC7741">
        <w:rPr>
          <w:szCs w:val="28"/>
          <w:shd w:val="clear" w:color="auto" w:fill="FFFFFF"/>
          <w:lang w:val="en-US"/>
        </w:rPr>
        <w:t xml:space="preserve"> D., </w:t>
      </w:r>
      <w:proofErr w:type="spellStart"/>
      <w:r w:rsidRPr="00BC7741">
        <w:rPr>
          <w:szCs w:val="28"/>
          <w:shd w:val="clear" w:color="auto" w:fill="FFFFFF"/>
          <w:lang w:val="en-US"/>
        </w:rPr>
        <w:t>Thur</w:t>
      </w:r>
      <w:proofErr w:type="spellEnd"/>
      <w:r w:rsidRPr="00BC7741">
        <w:rPr>
          <w:szCs w:val="28"/>
          <w:shd w:val="clear" w:color="auto" w:fill="FFFFFF"/>
          <w:lang w:val="en-US"/>
        </w:rPr>
        <w:t xml:space="preserve"> D. et al (2009) Second-line treatment of progressive metastatic renal cell cancer with </w:t>
      </w:r>
      <w:proofErr w:type="spellStart"/>
      <w:r w:rsidRPr="00BC7741">
        <w:rPr>
          <w:szCs w:val="28"/>
          <w:shd w:val="clear" w:color="auto" w:fill="FFFFFF"/>
          <w:lang w:val="en-US"/>
        </w:rPr>
        <w:t>temsirolimus</w:t>
      </w:r>
      <w:proofErr w:type="spellEnd"/>
      <w:r w:rsidRPr="00BC7741">
        <w:rPr>
          <w:szCs w:val="28"/>
          <w:shd w:val="clear" w:color="auto" w:fill="FFFFFF"/>
          <w:lang w:val="en-US"/>
        </w:rPr>
        <w:t xml:space="preserve"> following first-line therapy with </w:t>
      </w:r>
      <w:proofErr w:type="spellStart"/>
      <w:r w:rsidRPr="00BC7741">
        <w:rPr>
          <w:szCs w:val="28"/>
          <w:shd w:val="clear" w:color="auto" w:fill="FFFFFF"/>
          <w:lang w:val="en-US"/>
        </w:rPr>
        <w:t>sunitinib</w:t>
      </w:r>
      <w:proofErr w:type="spellEnd"/>
      <w:r w:rsidRPr="00BC7741">
        <w:rPr>
          <w:szCs w:val="28"/>
          <w:shd w:val="clear" w:color="auto" w:fill="FFFFFF"/>
          <w:lang w:val="en-US"/>
        </w:rPr>
        <w:t xml:space="preserve"> or </w:t>
      </w:r>
      <w:proofErr w:type="spellStart"/>
      <w:r w:rsidRPr="00BC7741">
        <w:rPr>
          <w:szCs w:val="28"/>
          <w:shd w:val="clear" w:color="auto" w:fill="FFFFFF"/>
          <w:lang w:val="en-US"/>
        </w:rPr>
        <w:t>sorafenib</w:t>
      </w:r>
      <w:proofErr w:type="spellEnd"/>
      <w:r w:rsidRPr="00BC7741">
        <w:rPr>
          <w:szCs w:val="28"/>
          <w:shd w:val="clear" w:color="auto" w:fill="FFFFFF"/>
          <w:lang w:val="en-US"/>
        </w:rPr>
        <w:t xml:space="preserve">. </w:t>
      </w:r>
      <w:proofErr w:type="spellStart"/>
      <w:r w:rsidRPr="00BC7741">
        <w:rPr>
          <w:szCs w:val="28"/>
          <w:shd w:val="clear" w:color="auto" w:fill="FFFFFF"/>
          <w:lang w:val="en-US"/>
        </w:rPr>
        <w:t>Onkologie</w:t>
      </w:r>
      <w:proofErr w:type="spellEnd"/>
      <w:r w:rsidRPr="00BC7741">
        <w:rPr>
          <w:szCs w:val="28"/>
          <w:shd w:val="clear" w:color="auto" w:fill="FFFFFF"/>
          <w:lang w:val="en-US"/>
        </w:rPr>
        <w:t xml:space="preserve"> 31:324 (abstract V684)</w:t>
      </w:r>
    </w:p>
    <w:p w:rsidR="00BC7741" w:rsidRPr="00BC7741" w:rsidRDefault="00BC7741" w:rsidP="00BC7741">
      <w:pPr>
        <w:pStyle w:val="a3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Cs w:val="28"/>
          <w:lang w:val="en-US"/>
        </w:rPr>
      </w:pPr>
      <w:proofErr w:type="spellStart"/>
      <w:r w:rsidRPr="00BC7741">
        <w:rPr>
          <w:color w:val="000000"/>
          <w:szCs w:val="28"/>
          <w:lang w:val="en-US"/>
        </w:rPr>
        <w:t>Kaja</w:t>
      </w:r>
      <w:proofErr w:type="spellEnd"/>
      <w:r w:rsidRPr="00BC7741">
        <w:rPr>
          <w:szCs w:val="28"/>
          <w:shd w:val="clear" w:color="auto" w:fill="FFFFFF"/>
          <w:lang w:val="en-US"/>
        </w:rPr>
        <w:t xml:space="preserve"> Zimmermann, </w:t>
      </w:r>
      <w:hyperlink r:id="rId16" w:history="1">
        <w:r w:rsidRPr="00BC7741">
          <w:rPr>
            <w:rStyle w:val="a8"/>
            <w:color w:val="auto"/>
            <w:szCs w:val="28"/>
            <w:u w:val="none"/>
            <w:lang w:val="en-US"/>
          </w:rPr>
          <w:t xml:space="preserve">Alexander </w:t>
        </w:r>
        <w:proofErr w:type="spellStart"/>
        <w:r w:rsidRPr="00BC7741">
          <w:rPr>
            <w:rStyle w:val="a8"/>
            <w:color w:val="auto"/>
            <w:szCs w:val="28"/>
            <w:u w:val="none"/>
            <w:lang w:val="en-US"/>
          </w:rPr>
          <w:t>Schmittel</w:t>
        </w:r>
        <w:proofErr w:type="spellEnd"/>
      </w:hyperlink>
      <w:r w:rsidRPr="00BC7741">
        <w:rPr>
          <w:rStyle w:val="span-break"/>
          <w:szCs w:val="28"/>
          <w:lang w:val="en-US"/>
        </w:rPr>
        <w:t>,</w:t>
      </w:r>
      <w:r w:rsidRPr="00BC7741">
        <w:rPr>
          <w:rStyle w:val="apple-converted-space"/>
          <w:szCs w:val="28"/>
          <w:lang w:val="en-US"/>
        </w:rPr>
        <w:t> </w:t>
      </w:r>
      <w:hyperlink r:id="rId17" w:history="1">
        <w:r w:rsidRPr="00BC7741">
          <w:rPr>
            <w:rStyle w:val="a8"/>
            <w:color w:val="auto"/>
            <w:szCs w:val="28"/>
            <w:u w:val="none"/>
            <w:lang w:val="en-US"/>
          </w:rPr>
          <w:t>Ursula Steiner</w:t>
        </w:r>
      </w:hyperlink>
      <w:r w:rsidRPr="00BC7741">
        <w:rPr>
          <w:rStyle w:val="span-break"/>
          <w:szCs w:val="28"/>
          <w:lang w:val="en-US"/>
        </w:rPr>
        <w:t>,</w:t>
      </w:r>
      <w:r w:rsidRPr="00BC7741">
        <w:rPr>
          <w:rStyle w:val="apple-converted-space"/>
          <w:szCs w:val="28"/>
          <w:lang w:val="en-US"/>
        </w:rPr>
        <w:t> </w:t>
      </w:r>
      <w:hyperlink r:id="rId18" w:history="1">
        <w:r w:rsidRPr="00BC7741">
          <w:rPr>
            <w:rStyle w:val="a8"/>
            <w:color w:val="auto"/>
            <w:szCs w:val="28"/>
            <w:u w:val="none"/>
            <w:lang w:val="en-US"/>
          </w:rPr>
          <w:t xml:space="preserve">Anne Marie </w:t>
        </w:r>
        <w:proofErr w:type="spellStart"/>
        <w:r w:rsidRPr="00BC7741">
          <w:rPr>
            <w:rStyle w:val="a8"/>
            <w:color w:val="auto"/>
            <w:szCs w:val="28"/>
            <w:u w:val="none"/>
            <w:lang w:val="en-US"/>
          </w:rPr>
          <w:t>Asemissen</w:t>
        </w:r>
        <w:proofErr w:type="spellEnd"/>
      </w:hyperlink>
      <w:r w:rsidRPr="00BC7741">
        <w:rPr>
          <w:rStyle w:val="span-break"/>
          <w:szCs w:val="28"/>
          <w:lang w:val="en-US"/>
        </w:rPr>
        <w:t>,</w:t>
      </w:r>
      <w:r w:rsidRPr="00BC7741">
        <w:rPr>
          <w:rStyle w:val="apple-converted-space"/>
          <w:szCs w:val="28"/>
          <w:lang w:val="en-US"/>
        </w:rPr>
        <w:t> </w:t>
      </w:r>
      <w:proofErr w:type="spellStart"/>
      <w:r w:rsidR="00745C7F" w:rsidRPr="00BC7741">
        <w:rPr>
          <w:szCs w:val="28"/>
        </w:rPr>
        <w:fldChar w:fldCharType="begin"/>
      </w:r>
      <w:r w:rsidRPr="00BC7741">
        <w:rPr>
          <w:szCs w:val="28"/>
          <w:lang w:val="en-US"/>
        </w:rPr>
        <w:instrText>HYPERLINK "http://academic.research.microsoft.com/Author/26661886/maren-knoedler"</w:instrText>
      </w:r>
      <w:r w:rsidR="00745C7F" w:rsidRPr="00BC7741">
        <w:rPr>
          <w:szCs w:val="28"/>
        </w:rPr>
        <w:fldChar w:fldCharType="separate"/>
      </w:r>
      <w:r w:rsidRPr="00BC7741">
        <w:rPr>
          <w:rStyle w:val="a8"/>
          <w:color w:val="auto"/>
          <w:szCs w:val="28"/>
          <w:u w:val="none"/>
          <w:lang w:val="en-US"/>
        </w:rPr>
        <w:t>Maren</w:t>
      </w:r>
      <w:proofErr w:type="spellEnd"/>
      <w:r w:rsidRPr="00BC7741">
        <w:rPr>
          <w:rStyle w:val="a8"/>
          <w:color w:val="auto"/>
          <w:szCs w:val="28"/>
          <w:u w:val="none"/>
          <w:lang w:val="en-US"/>
        </w:rPr>
        <w:t xml:space="preserve"> </w:t>
      </w:r>
      <w:proofErr w:type="spellStart"/>
      <w:r w:rsidRPr="00BC7741">
        <w:rPr>
          <w:rStyle w:val="a8"/>
          <w:color w:val="auto"/>
          <w:szCs w:val="28"/>
          <w:u w:val="none"/>
          <w:lang w:val="en-US"/>
        </w:rPr>
        <w:t>Knoedler</w:t>
      </w:r>
      <w:proofErr w:type="spellEnd"/>
      <w:r w:rsidR="00745C7F" w:rsidRPr="00BC7741">
        <w:rPr>
          <w:szCs w:val="28"/>
        </w:rPr>
        <w:fldChar w:fldCharType="end"/>
      </w:r>
      <w:r w:rsidRPr="00BC7741">
        <w:rPr>
          <w:rStyle w:val="span-break"/>
          <w:szCs w:val="28"/>
          <w:lang w:val="en-US"/>
        </w:rPr>
        <w:t>,</w:t>
      </w:r>
      <w:r w:rsidRPr="00BC7741">
        <w:rPr>
          <w:rStyle w:val="apple-converted-space"/>
          <w:szCs w:val="28"/>
          <w:lang w:val="en-US"/>
        </w:rPr>
        <w:t> </w:t>
      </w:r>
      <w:proofErr w:type="spellStart"/>
      <w:r w:rsidR="00745C7F" w:rsidRPr="00BC7741">
        <w:rPr>
          <w:szCs w:val="28"/>
        </w:rPr>
        <w:fldChar w:fldCharType="begin"/>
      </w:r>
      <w:r w:rsidRPr="00BC7741">
        <w:rPr>
          <w:szCs w:val="28"/>
          <w:lang w:val="en-US"/>
        </w:rPr>
        <w:instrText>HYPERLINK "http://academic.research.microsoft.com/Author/18505540/eckhard-thiel"</w:instrText>
      </w:r>
      <w:r w:rsidR="00745C7F" w:rsidRPr="00BC7741">
        <w:rPr>
          <w:szCs w:val="28"/>
        </w:rPr>
        <w:fldChar w:fldCharType="separate"/>
      </w:r>
      <w:r w:rsidRPr="00BC7741">
        <w:rPr>
          <w:rStyle w:val="a8"/>
          <w:color w:val="auto"/>
          <w:szCs w:val="28"/>
          <w:u w:val="none"/>
          <w:lang w:val="en-US"/>
        </w:rPr>
        <w:t>Eckhard</w:t>
      </w:r>
      <w:proofErr w:type="spellEnd"/>
      <w:r w:rsidRPr="00BC7741">
        <w:rPr>
          <w:rStyle w:val="a8"/>
          <w:color w:val="auto"/>
          <w:szCs w:val="28"/>
          <w:u w:val="none"/>
          <w:lang w:val="en-US"/>
        </w:rPr>
        <w:t xml:space="preserve"> </w:t>
      </w:r>
      <w:proofErr w:type="spellStart"/>
      <w:r w:rsidRPr="00BC7741">
        <w:rPr>
          <w:rStyle w:val="a8"/>
          <w:color w:val="auto"/>
          <w:szCs w:val="28"/>
          <w:u w:val="none"/>
          <w:lang w:val="en-US"/>
        </w:rPr>
        <w:t>Thiel</w:t>
      </w:r>
      <w:proofErr w:type="spellEnd"/>
      <w:r w:rsidR="00745C7F" w:rsidRPr="00BC7741">
        <w:rPr>
          <w:szCs w:val="28"/>
        </w:rPr>
        <w:fldChar w:fldCharType="end"/>
      </w:r>
      <w:r w:rsidRPr="00BC7741">
        <w:rPr>
          <w:rStyle w:val="span-break"/>
          <w:szCs w:val="28"/>
          <w:lang w:val="en-US"/>
        </w:rPr>
        <w:t>,</w:t>
      </w:r>
      <w:r w:rsidRPr="00BC7741">
        <w:rPr>
          <w:rStyle w:val="apple-converted-space"/>
          <w:szCs w:val="28"/>
          <w:lang w:val="en-US"/>
        </w:rPr>
        <w:t> </w:t>
      </w:r>
      <w:hyperlink r:id="rId19" w:history="1">
        <w:r w:rsidRPr="00BC7741">
          <w:rPr>
            <w:rStyle w:val="a8"/>
            <w:color w:val="auto"/>
            <w:szCs w:val="28"/>
            <w:u w:val="none"/>
            <w:lang w:val="en-US"/>
          </w:rPr>
          <w:t xml:space="preserve">Kurt </w:t>
        </w:r>
        <w:proofErr w:type="spellStart"/>
        <w:r w:rsidRPr="00BC7741">
          <w:rPr>
            <w:rStyle w:val="a8"/>
            <w:color w:val="auto"/>
            <w:szCs w:val="28"/>
            <w:u w:val="none"/>
            <w:lang w:val="en-US"/>
          </w:rPr>
          <w:t>Miller</w:t>
        </w:r>
      </w:hyperlink>
      <w:r w:rsidRPr="00BC7741">
        <w:rPr>
          <w:rStyle w:val="span-break"/>
          <w:szCs w:val="28"/>
          <w:lang w:val="en-US"/>
        </w:rPr>
        <w:t>,</w:t>
      </w:r>
      <w:hyperlink r:id="rId20" w:history="1">
        <w:r w:rsidRPr="00BC7741">
          <w:rPr>
            <w:rStyle w:val="a8"/>
            <w:color w:val="auto"/>
            <w:szCs w:val="28"/>
            <w:u w:val="none"/>
            <w:lang w:val="en-US"/>
          </w:rPr>
          <w:t>Ulrich</w:t>
        </w:r>
        <w:proofErr w:type="spellEnd"/>
        <w:r w:rsidRPr="00BC7741">
          <w:rPr>
            <w:rStyle w:val="a8"/>
            <w:color w:val="auto"/>
            <w:szCs w:val="28"/>
            <w:u w:val="none"/>
            <w:lang w:val="en-US"/>
          </w:rPr>
          <w:t xml:space="preserve"> </w:t>
        </w:r>
        <w:proofErr w:type="spellStart"/>
        <w:r w:rsidRPr="00BC7741">
          <w:rPr>
            <w:rStyle w:val="a8"/>
            <w:color w:val="auto"/>
            <w:szCs w:val="28"/>
            <w:u w:val="none"/>
            <w:lang w:val="en-US"/>
          </w:rPr>
          <w:t>Keilholz</w:t>
        </w:r>
        <w:proofErr w:type="spellEnd"/>
      </w:hyperlink>
      <w:r w:rsidRPr="00BC7741">
        <w:rPr>
          <w:szCs w:val="28"/>
          <w:shd w:val="clear" w:color="auto" w:fill="FFFFFF"/>
          <w:lang w:val="en-US"/>
        </w:rPr>
        <w:t xml:space="preserve"> (2009), </w:t>
      </w:r>
      <w:proofErr w:type="spellStart"/>
      <w:r w:rsidRPr="00BC7741">
        <w:rPr>
          <w:szCs w:val="28"/>
          <w:shd w:val="clear" w:color="auto" w:fill="FFFFFF"/>
          <w:lang w:val="en-US"/>
        </w:rPr>
        <w:t>Sunitinib</w:t>
      </w:r>
      <w:proofErr w:type="spellEnd"/>
      <w:r w:rsidRPr="00BC7741">
        <w:rPr>
          <w:szCs w:val="28"/>
          <w:shd w:val="clear" w:color="auto" w:fill="FFFFFF"/>
          <w:lang w:val="en-US"/>
        </w:rPr>
        <w:t xml:space="preserve"> treatment for patients with advanced clear-cell renal-cell carcinoma after progression on </w:t>
      </w:r>
      <w:proofErr w:type="spellStart"/>
      <w:r w:rsidRPr="00BC7741">
        <w:rPr>
          <w:szCs w:val="28"/>
          <w:shd w:val="clear" w:color="auto" w:fill="FFFFFF"/>
          <w:lang w:val="en-US"/>
        </w:rPr>
        <w:t>sorafenib</w:t>
      </w:r>
      <w:proofErr w:type="spellEnd"/>
      <w:r w:rsidRPr="00BC7741">
        <w:rPr>
          <w:szCs w:val="28"/>
          <w:shd w:val="clear" w:color="auto" w:fill="FFFFFF"/>
          <w:lang w:val="en-US"/>
        </w:rPr>
        <w:t>. Oncology 76:350–354</w:t>
      </w:r>
    </w:p>
    <w:p w:rsidR="00BC7741" w:rsidRPr="00547D14" w:rsidRDefault="00BC7741" w:rsidP="00BC7741">
      <w:pPr>
        <w:pStyle w:val="a3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Cs w:val="28"/>
          <w:lang w:val="en-US"/>
        </w:rPr>
      </w:pPr>
      <w:proofErr w:type="spellStart"/>
      <w:r w:rsidRPr="00BC7741">
        <w:rPr>
          <w:szCs w:val="28"/>
          <w:shd w:val="clear" w:color="auto" w:fill="FFFFFF"/>
          <w:lang w:val="en-US"/>
        </w:rPr>
        <w:t>Eichelberg</w:t>
      </w:r>
      <w:proofErr w:type="spellEnd"/>
      <w:r w:rsidRPr="00BC7741">
        <w:rPr>
          <w:szCs w:val="28"/>
          <w:shd w:val="clear" w:color="auto" w:fill="FFFFFF"/>
          <w:lang w:val="en-US"/>
        </w:rPr>
        <w:t xml:space="preserve"> C., </w:t>
      </w:r>
      <w:proofErr w:type="spellStart"/>
      <w:r w:rsidRPr="00BC7741">
        <w:rPr>
          <w:szCs w:val="28"/>
          <w:shd w:val="clear" w:color="auto" w:fill="FFFFFF"/>
          <w:lang w:val="en-US"/>
        </w:rPr>
        <w:t>Heuer</w:t>
      </w:r>
      <w:proofErr w:type="spellEnd"/>
      <w:r w:rsidRPr="00BC7741">
        <w:rPr>
          <w:szCs w:val="28"/>
          <w:shd w:val="clear" w:color="auto" w:fill="FFFFFF"/>
          <w:lang w:val="en-US"/>
        </w:rPr>
        <w:t xml:space="preserve"> R., Chun F.K. et al (2008), Sequential use of the tyrosine </w:t>
      </w:r>
      <w:proofErr w:type="spellStart"/>
      <w:r w:rsidRPr="00BC7741">
        <w:rPr>
          <w:szCs w:val="28"/>
          <w:shd w:val="clear" w:color="auto" w:fill="FFFFFF"/>
          <w:lang w:val="en-US"/>
        </w:rPr>
        <w:t>kinase</w:t>
      </w:r>
      <w:proofErr w:type="spellEnd"/>
      <w:r w:rsidRPr="00BC7741">
        <w:rPr>
          <w:szCs w:val="28"/>
          <w:shd w:val="clear" w:color="auto" w:fill="FFFFFF"/>
          <w:lang w:val="en-US"/>
        </w:rPr>
        <w:t xml:space="preserve"> inhibitors </w:t>
      </w:r>
      <w:proofErr w:type="spellStart"/>
      <w:r w:rsidRPr="00BC7741">
        <w:rPr>
          <w:szCs w:val="28"/>
          <w:shd w:val="clear" w:color="auto" w:fill="FFFFFF"/>
          <w:lang w:val="en-US"/>
        </w:rPr>
        <w:t>sorafenib</w:t>
      </w:r>
      <w:proofErr w:type="spellEnd"/>
      <w:r w:rsidRPr="00BC7741">
        <w:rPr>
          <w:szCs w:val="28"/>
          <w:shd w:val="clear" w:color="auto" w:fill="FFFFFF"/>
          <w:lang w:val="en-US"/>
        </w:rPr>
        <w:t xml:space="preserve"> and </w:t>
      </w:r>
      <w:proofErr w:type="spellStart"/>
      <w:r w:rsidRPr="00BC7741">
        <w:rPr>
          <w:szCs w:val="28"/>
          <w:shd w:val="clear" w:color="auto" w:fill="FFFFFF"/>
          <w:lang w:val="en-US"/>
        </w:rPr>
        <w:t>sunitinib</w:t>
      </w:r>
      <w:proofErr w:type="spellEnd"/>
      <w:r w:rsidRPr="00BC7741">
        <w:rPr>
          <w:szCs w:val="28"/>
          <w:shd w:val="clear" w:color="auto" w:fill="FFFFFF"/>
          <w:lang w:val="en-US"/>
        </w:rPr>
        <w:t xml:space="preserve"> in metastatic renal cell carcinoma: a retrospective outcome analysis. </w:t>
      </w:r>
      <w:proofErr w:type="spellStart"/>
      <w:r w:rsidRPr="00BC7741">
        <w:rPr>
          <w:szCs w:val="28"/>
          <w:shd w:val="clear" w:color="auto" w:fill="FFFFFF"/>
          <w:lang w:val="en-US"/>
        </w:rPr>
        <w:t>Eur</w:t>
      </w:r>
      <w:proofErr w:type="spellEnd"/>
      <w:r w:rsidRPr="00BC7741">
        <w:rPr>
          <w:szCs w:val="28"/>
          <w:shd w:val="clear" w:color="auto" w:fill="FFFFFF"/>
          <w:lang w:val="en-US"/>
        </w:rPr>
        <w:t xml:space="preserve"> </w:t>
      </w:r>
      <w:proofErr w:type="spellStart"/>
      <w:r w:rsidRPr="00BC7741">
        <w:rPr>
          <w:szCs w:val="28"/>
          <w:shd w:val="clear" w:color="auto" w:fill="FFFFFF"/>
          <w:lang w:val="en-US"/>
        </w:rPr>
        <w:t>Urol</w:t>
      </w:r>
      <w:proofErr w:type="spellEnd"/>
      <w:r w:rsidRPr="00BC7741">
        <w:rPr>
          <w:szCs w:val="28"/>
          <w:shd w:val="clear" w:color="auto" w:fill="FFFFFF"/>
          <w:lang w:val="en-US"/>
        </w:rPr>
        <w:t xml:space="preserve"> 54:1373–1378</w:t>
      </w:r>
    </w:p>
    <w:p w:rsidR="00547D14" w:rsidRDefault="00547D14" w:rsidP="00547D14">
      <w:pPr>
        <w:autoSpaceDE w:val="0"/>
        <w:autoSpaceDN w:val="0"/>
        <w:adjustRightInd w:val="0"/>
        <w:spacing w:line="360" w:lineRule="auto"/>
        <w:jc w:val="both"/>
        <w:rPr>
          <w:szCs w:val="28"/>
        </w:rPr>
      </w:pPr>
    </w:p>
    <w:p w:rsidR="00547D14" w:rsidRDefault="00547D14" w:rsidP="00547D14">
      <w:pPr>
        <w:autoSpaceDE w:val="0"/>
        <w:autoSpaceDN w:val="0"/>
        <w:adjustRightInd w:val="0"/>
        <w:spacing w:line="360" w:lineRule="auto"/>
        <w:jc w:val="both"/>
        <w:rPr>
          <w:b/>
          <w:szCs w:val="28"/>
        </w:rPr>
      </w:pPr>
      <w:r w:rsidRPr="00547D14">
        <w:rPr>
          <w:b/>
          <w:szCs w:val="28"/>
        </w:rPr>
        <w:t>Контакты</w:t>
      </w:r>
      <w:r>
        <w:rPr>
          <w:b/>
          <w:szCs w:val="28"/>
        </w:rPr>
        <w:t xml:space="preserve">: </w:t>
      </w:r>
    </w:p>
    <w:p w:rsidR="00547D14" w:rsidRDefault="00547D14" w:rsidP="00547D14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szCs w:val="28"/>
          <w:vertAlign w:val="superscript"/>
        </w:rPr>
      </w:pPr>
      <w:r w:rsidRPr="00547D14">
        <w:rPr>
          <w:iCs/>
          <w:szCs w:val="28"/>
        </w:rPr>
        <w:t xml:space="preserve">Валерий Иванович </w:t>
      </w:r>
      <w:proofErr w:type="spellStart"/>
      <w:r w:rsidRPr="00547D14">
        <w:rPr>
          <w:iCs/>
          <w:szCs w:val="28"/>
        </w:rPr>
        <w:t>Широкорад</w:t>
      </w:r>
      <w:proofErr w:type="spellEnd"/>
      <w:r w:rsidRPr="00547D14">
        <w:rPr>
          <w:iCs/>
          <w:szCs w:val="28"/>
        </w:rPr>
        <w:t xml:space="preserve"> </w:t>
      </w:r>
      <w:hyperlink r:id="rId21" w:history="1">
        <w:r w:rsidRPr="00547D14">
          <w:rPr>
            <w:rStyle w:val="a8"/>
            <w:iCs/>
            <w:color w:val="auto"/>
            <w:szCs w:val="28"/>
          </w:rPr>
          <w:t>Shirokorad@bk.ru</w:t>
        </w:r>
      </w:hyperlink>
    </w:p>
    <w:p w:rsidR="00547D14" w:rsidRPr="00547D14" w:rsidRDefault="00547D14" w:rsidP="00547D14">
      <w:pPr>
        <w:autoSpaceDE w:val="0"/>
        <w:autoSpaceDN w:val="0"/>
        <w:adjustRightInd w:val="0"/>
        <w:spacing w:line="360" w:lineRule="auto"/>
        <w:ind w:firstLine="709"/>
        <w:jc w:val="both"/>
        <w:rPr>
          <w:iCs/>
          <w:szCs w:val="28"/>
        </w:rPr>
      </w:pPr>
      <w:r w:rsidRPr="00547D14">
        <w:rPr>
          <w:iCs/>
          <w:szCs w:val="28"/>
        </w:rPr>
        <w:t>Московская городская онкологическая больница № 62;</w:t>
      </w:r>
    </w:p>
    <w:p w:rsidR="00547D14" w:rsidRPr="00547D14" w:rsidRDefault="00547D14" w:rsidP="00547D14">
      <w:pPr>
        <w:autoSpaceDE w:val="0"/>
        <w:autoSpaceDN w:val="0"/>
        <w:adjustRightInd w:val="0"/>
        <w:spacing w:line="360" w:lineRule="auto"/>
        <w:ind w:firstLine="709"/>
        <w:jc w:val="both"/>
        <w:rPr>
          <w:iCs/>
          <w:szCs w:val="28"/>
        </w:rPr>
      </w:pPr>
      <w:r w:rsidRPr="00547D14">
        <w:rPr>
          <w:iCs/>
          <w:szCs w:val="28"/>
        </w:rPr>
        <w:lastRenderedPageBreak/>
        <w:t xml:space="preserve">143423 Московская область, Красногорский район, </w:t>
      </w:r>
      <w:proofErr w:type="spellStart"/>
      <w:proofErr w:type="gramStart"/>
      <w:r w:rsidRPr="00547D14">
        <w:rPr>
          <w:iCs/>
          <w:szCs w:val="28"/>
        </w:rPr>
        <w:t>п</w:t>
      </w:r>
      <w:proofErr w:type="spellEnd"/>
      <w:proofErr w:type="gramEnd"/>
      <w:r w:rsidRPr="00547D14">
        <w:rPr>
          <w:iCs/>
          <w:szCs w:val="28"/>
        </w:rPr>
        <w:t xml:space="preserve">/о </w:t>
      </w:r>
      <w:proofErr w:type="spellStart"/>
      <w:r w:rsidRPr="00547D14">
        <w:rPr>
          <w:iCs/>
          <w:szCs w:val="28"/>
        </w:rPr>
        <w:t>Степановское</w:t>
      </w:r>
      <w:proofErr w:type="spellEnd"/>
      <w:r w:rsidRPr="00547D14">
        <w:rPr>
          <w:iCs/>
          <w:szCs w:val="28"/>
        </w:rPr>
        <w:t>, поселок Истра, 27</w:t>
      </w:r>
    </w:p>
    <w:p w:rsidR="00547D14" w:rsidRPr="00547D14" w:rsidRDefault="00547D14" w:rsidP="00547D14">
      <w:pPr>
        <w:autoSpaceDE w:val="0"/>
        <w:autoSpaceDN w:val="0"/>
        <w:adjustRightInd w:val="0"/>
        <w:spacing w:line="360" w:lineRule="auto"/>
        <w:jc w:val="both"/>
        <w:rPr>
          <w:iCs/>
          <w:szCs w:val="28"/>
        </w:rPr>
      </w:pPr>
    </w:p>
    <w:p w:rsidR="00547D14" w:rsidRPr="00547D14" w:rsidRDefault="00547D14" w:rsidP="00547D14">
      <w:pPr>
        <w:autoSpaceDE w:val="0"/>
        <w:autoSpaceDN w:val="0"/>
        <w:adjustRightInd w:val="0"/>
        <w:spacing w:line="360" w:lineRule="auto"/>
        <w:jc w:val="both"/>
        <w:rPr>
          <w:b/>
          <w:szCs w:val="28"/>
        </w:rPr>
      </w:pPr>
    </w:p>
    <w:p w:rsidR="00A07C3F" w:rsidRPr="00BC7741" w:rsidRDefault="00A07C3F" w:rsidP="00BC7741">
      <w:pPr>
        <w:spacing w:line="360" w:lineRule="auto"/>
        <w:ind w:firstLine="709"/>
        <w:jc w:val="both"/>
        <w:rPr>
          <w:szCs w:val="28"/>
        </w:rPr>
      </w:pPr>
    </w:p>
    <w:sectPr w:rsidR="00A07C3F" w:rsidRPr="00BC7741" w:rsidSect="000C45BC">
      <w:headerReference w:type="default" r:id="rId2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5BE6" w:rsidRDefault="00715BE6" w:rsidP="00BC7741">
      <w:pPr>
        <w:spacing w:line="240" w:lineRule="auto"/>
      </w:pPr>
      <w:r>
        <w:separator/>
      </w:r>
    </w:p>
  </w:endnote>
  <w:endnote w:type="continuationSeparator" w:id="0">
    <w:p w:rsidR="00715BE6" w:rsidRDefault="00715BE6" w:rsidP="00BC774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5BE6" w:rsidRDefault="00715BE6" w:rsidP="00BC7741">
      <w:pPr>
        <w:spacing w:line="240" w:lineRule="auto"/>
      </w:pPr>
      <w:r>
        <w:separator/>
      </w:r>
    </w:p>
  </w:footnote>
  <w:footnote w:type="continuationSeparator" w:id="0">
    <w:p w:rsidR="00715BE6" w:rsidRDefault="00715BE6" w:rsidP="00BC774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5129001"/>
      <w:docPartObj>
        <w:docPartGallery w:val="Page Numbers (Top of Page)"/>
        <w:docPartUnique/>
      </w:docPartObj>
    </w:sdtPr>
    <w:sdtContent>
      <w:p w:rsidR="00BC7741" w:rsidRDefault="00745C7F">
        <w:pPr>
          <w:pStyle w:val="ab"/>
          <w:jc w:val="right"/>
        </w:pPr>
        <w:fldSimple w:instr=" PAGE   \* MERGEFORMAT ">
          <w:r w:rsidR="00E22ACD">
            <w:rPr>
              <w:noProof/>
            </w:rPr>
            <w:t>12</w:t>
          </w:r>
        </w:fldSimple>
      </w:p>
    </w:sdtContent>
  </w:sdt>
  <w:p w:rsidR="00BC7741" w:rsidRDefault="00BC7741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EC54D56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A42F87"/>
    <w:multiLevelType w:val="multilevel"/>
    <w:tmpl w:val="2696B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E62E63"/>
    <w:multiLevelType w:val="hybridMultilevel"/>
    <w:tmpl w:val="51266FB4"/>
    <w:lvl w:ilvl="0" w:tplc="C5C0CDA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091AE6"/>
    <w:multiLevelType w:val="multilevel"/>
    <w:tmpl w:val="1A4AC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110700"/>
    <w:multiLevelType w:val="hybridMultilevel"/>
    <w:tmpl w:val="51266FB4"/>
    <w:lvl w:ilvl="0" w:tplc="C5C0CDA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7C311E"/>
    <w:multiLevelType w:val="hybridMultilevel"/>
    <w:tmpl w:val="51266FB4"/>
    <w:lvl w:ilvl="0" w:tplc="C5C0CDA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7319CB"/>
    <w:multiLevelType w:val="hybridMultilevel"/>
    <w:tmpl w:val="51266FB4"/>
    <w:lvl w:ilvl="0" w:tplc="C5C0CDA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B51F38"/>
    <w:multiLevelType w:val="multilevel"/>
    <w:tmpl w:val="D95C2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171E2F"/>
    <w:multiLevelType w:val="hybridMultilevel"/>
    <w:tmpl w:val="51266FB4"/>
    <w:lvl w:ilvl="0" w:tplc="C5C0CDA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501377"/>
    <w:multiLevelType w:val="multilevel"/>
    <w:tmpl w:val="D25CA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A537AAC"/>
    <w:multiLevelType w:val="hybridMultilevel"/>
    <w:tmpl w:val="51266FB4"/>
    <w:lvl w:ilvl="0" w:tplc="C5C0CDA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972C16"/>
    <w:multiLevelType w:val="hybridMultilevel"/>
    <w:tmpl w:val="51266FB4"/>
    <w:lvl w:ilvl="0" w:tplc="C5C0CDA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3C202F"/>
    <w:multiLevelType w:val="hybridMultilevel"/>
    <w:tmpl w:val="277052F8"/>
    <w:lvl w:ilvl="0" w:tplc="28F247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5"/>
  </w:num>
  <w:num w:numId="4">
    <w:abstractNumId w:val="6"/>
  </w:num>
  <w:num w:numId="5">
    <w:abstractNumId w:val="4"/>
  </w:num>
  <w:num w:numId="6">
    <w:abstractNumId w:val="7"/>
  </w:num>
  <w:num w:numId="7">
    <w:abstractNumId w:val="1"/>
  </w:num>
  <w:num w:numId="8">
    <w:abstractNumId w:val="9"/>
  </w:num>
  <w:num w:numId="9">
    <w:abstractNumId w:val="12"/>
  </w:num>
  <w:num w:numId="10">
    <w:abstractNumId w:val="10"/>
  </w:num>
  <w:num w:numId="11">
    <w:abstractNumId w:val="2"/>
  </w:num>
  <w:num w:numId="12">
    <w:abstractNumId w:val="3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7741"/>
    <w:rsid w:val="00257343"/>
    <w:rsid w:val="003919B0"/>
    <w:rsid w:val="004A1C86"/>
    <w:rsid w:val="00547D14"/>
    <w:rsid w:val="00715BE6"/>
    <w:rsid w:val="00745C7F"/>
    <w:rsid w:val="00A07C3F"/>
    <w:rsid w:val="00A97EB4"/>
    <w:rsid w:val="00BC7741"/>
    <w:rsid w:val="00E22ACD"/>
    <w:rsid w:val="00F0471E"/>
    <w:rsid w:val="00FE2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741"/>
    <w:rPr>
      <w:rFonts w:eastAsia="Calibri" w:cs="Times New Roman"/>
    </w:rPr>
  </w:style>
  <w:style w:type="paragraph" w:styleId="2">
    <w:name w:val="heading 2"/>
    <w:basedOn w:val="a"/>
    <w:link w:val="20"/>
    <w:uiPriority w:val="9"/>
    <w:qFormat/>
    <w:rsid w:val="00BC7741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C7741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BC774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C774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C7741"/>
    <w:rPr>
      <w:b/>
      <w:bCs/>
    </w:rPr>
  </w:style>
  <w:style w:type="table" w:styleId="a6">
    <w:name w:val="Table Grid"/>
    <w:basedOn w:val="a1"/>
    <w:uiPriority w:val="59"/>
    <w:rsid w:val="00BC7741"/>
    <w:pPr>
      <w:spacing w:line="240" w:lineRule="auto"/>
    </w:pPr>
    <w:rPr>
      <w:rFonts w:eastAsia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basedOn w:val="a0"/>
    <w:uiPriority w:val="20"/>
    <w:qFormat/>
    <w:rsid w:val="00BC7741"/>
    <w:rPr>
      <w:i/>
      <w:iCs/>
    </w:rPr>
  </w:style>
  <w:style w:type="character" w:customStyle="1" w:styleId="apple-converted-space">
    <w:name w:val="apple-converted-space"/>
    <w:basedOn w:val="a0"/>
    <w:rsid w:val="00BC7741"/>
  </w:style>
  <w:style w:type="character" w:styleId="a8">
    <w:name w:val="Hyperlink"/>
    <w:basedOn w:val="a0"/>
    <w:uiPriority w:val="99"/>
    <w:semiHidden/>
    <w:unhideWhenUsed/>
    <w:rsid w:val="00BC7741"/>
    <w:rPr>
      <w:color w:val="0000FF"/>
      <w:u w:val="single"/>
    </w:rPr>
  </w:style>
  <w:style w:type="character" w:customStyle="1" w:styleId="authorname">
    <w:name w:val="authorname"/>
    <w:basedOn w:val="a0"/>
    <w:rsid w:val="00BC7741"/>
  </w:style>
  <w:style w:type="character" w:customStyle="1" w:styleId="citationref">
    <w:name w:val="citationref"/>
    <w:basedOn w:val="a0"/>
    <w:rsid w:val="00BC7741"/>
  </w:style>
  <w:style w:type="character" w:customStyle="1" w:styleId="occurrence">
    <w:name w:val="occurrence"/>
    <w:basedOn w:val="a0"/>
    <w:rsid w:val="00BC7741"/>
  </w:style>
  <w:style w:type="character" w:customStyle="1" w:styleId="span-break">
    <w:name w:val="span-break"/>
    <w:basedOn w:val="a0"/>
    <w:rsid w:val="00BC7741"/>
  </w:style>
  <w:style w:type="paragraph" w:styleId="a9">
    <w:name w:val="Balloon Text"/>
    <w:basedOn w:val="a"/>
    <w:link w:val="aa"/>
    <w:uiPriority w:val="99"/>
    <w:semiHidden/>
    <w:unhideWhenUsed/>
    <w:rsid w:val="00BC77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C7741"/>
    <w:rPr>
      <w:rFonts w:ascii="Tahoma" w:eastAsia="Calibri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BC7741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C7741"/>
    <w:rPr>
      <w:rFonts w:eastAsia="Calibri" w:cs="Times New Roman"/>
    </w:rPr>
  </w:style>
  <w:style w:type="paragraph" w:styleId="ad">
    <w:name w:val="footer"/>
    <w:basedOn w:val="a"/>
    <w:link w:val="ae"/>
    <w:uiPriority w:val="99"/>
    <w:semiHidden/>
    <w:unhideWhenUsed/>
    <w:rsid w:val="00BC7741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BC7741"/>
    <w:rPr>
      <w:rFonts w:eastAsia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13" Type="http://schemas.openxmlformats.org/officeDocument/2006/relationships/hyperlink" Target="javascript:void(0);" TargetMode="External"/><Relationship Id="rId18" Type="http://schemas.openxmlformats.org/officeDocument/2006/relationships/hyperlink" Target="http://academic.research.microsoft.com/Author/24708032/anne-marie-asemissen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Shirokorad@bk.ru" TargetMode="External"/><Relationship Id="rId7" Type="http://schemas.openxmlformats.org/officeDocument/2006/relationships/hyperlink" Target="mailto:Shirokorad@bk.ru" TargetMode="External"/><Relationship Id="rId12" Type="http://schemas.openxmlformats.org/officeDocument/2006/relationships/hyperlink" Target="javascript:void(0);" TargetMode="External"/><Relationship Id="rId17" Type="http://schemas.openxmlformats.org/officeDocument/2006/relationships/hyperlink" Target="http://academic.research.microsoft.com/Author/55143464/ursula-steiner" TargetMode="External"/><Relationship Id="rId2" Type="http://schemas.openxmlformats.org/officeDocument/2006/relationships/styles" Target="styles.xml"/><Relationship Id="rId16" Type="http://schemas.openxmlformats.org/officeDocument/2006/relationships/hyperlink" Target="http://academic.research.microsoft.com/Author/23877874/alexander-schmittel" TargetMode="External"/><Relationship Id="rId20" Type="http://schemas.openxmlformats.org/officeDocument/2006/relationships/hyperlink" Target="http://academic.research.microsoft.com/Author/23520746/ulrich-keilholz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javascript:void(0);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javascript:void(0);" TargetMode="External"/><Relationship Id="rId23" Type="http://schemas.openxmlformats.org/officeDocument/2006/relationships/fontTable" Target="fontTable.xml"/><Relationship Id="rId10" Type="http://schemas.openxmlformats.org/officeDocument/2006/relationships/hyperlink" Target="javascript:void(0);" TargetMode="External"/><Relationship Id="rId19" Type="http://schemas.openxmlformats.org/officeDocument/2006/relationships/hyperlink" Target="http://academic.research.microsoft.com/Author/47728223/kurt-mill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void(0);" TargetMode="External"/><Relationship Id="rId14" Type="http://schemas.openxmlformats.org/officeDocument/2006/relationships/hyperlink" Target="javascript:void(0);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2945</Words>
  <Characters>16793</Characters>
  <Application>Microsoft Office Word</Application>
  <DocSecurity>0</DocSecurity>
  <Lines>139</Lines>
  <Paragraphs>39</Paragraphs>
  <ScaleCrop>false</ScaleCrop>
  <Company/>
  <LinksUpToDate>false</LinksUpToDate>
  <CharactersWithSpaces>19699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Серафима</dc:creator>
  <cp:lastModifiedBy>Станислав Кострицкий</cp:lastModifiedBy>
  <cp:revision>6</cp:revision>
  <dcterms:created xsi:type="dcterms:W3CDTF">2016-04-24T12:23:00Z</dcterms:created>
  <dcterms:modified xsi:type="dcterms:W3CDTF">2016-04-24T17:16:00Z</dcterms:modified>
</cp:coreProperties>
</file>